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06B9" w14:textId="77777777" w:rsidR="007258E8" w:rsidRDefault="007258E8">
      <w:pPr>
        <w:spacing w:after="0"/>
        <w:ind w:left="-1440" w:right="15410"/>
        <w:jc w:val="both"/>
      </w:pPr>
    </w:p>
    <w:tbl>
      <w:tblPr>
        <w:tblStyle w:val="TableGrid"/>
        <w:tblW w:w="15286" w:type="dxa"/>
        <w:tblInd w:w="-620" w:type="dxa"/>
        <w:tblCellMar>
          <w:left w:w="147" w:type="dxa"/>
          <w:bottom w:w="317" w:type="dxa"/>
          <w:right w:w="151" w:type="dxa"/>
        </w:tblCellMar>
        <w:tblLook w:val="04A0" w:firstRow="1" w:lastRow="0" w:firstColumn="1" w:lastColumn="0" w:noHBand="0" w:noVBand="1"/>
      </w:tblPr>
      <w:tblGrid>
        <w:gridCol w:w="15286"/>
      </w:tblGrid>
      <w:tr w:rsidR="007258E8" w14:paraId="6677329F" w14:textId="77777777" w:rsidTr="1E4812B4">
        <w:trPr>
          <w:trHeight w:val="10052"/>
        </w:trPr>
        <w:tc>
          <w:tcPr>
            <w:tcW w:w="15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E8B297" w14:textId="77777777" w:rsidR="007258E8" w:rsidRDefault="00F22D5F">
            <w:pPr>
              <w:spacing w:after="30"/>
              <w:ind w:left="133"/>
              <w:jc w:val="center"/>
            </w:pPr>
            <w:r>
              <w:rPr>
                <w:noProof/>
              </w:rPr>
              <w:drawing>
                <wp:inline distT="0" distB="0" distL="0" distR="0" wp14:anchorId="41D05ABB" wp14:editId="71357E83">
                  <wp:extent cx="4478783" cy="1054735"/>
                  <wp:effectExtent l="0" t="0" r="0" b="0"/>
                  <wp:docPr id="264" name="Picture 264">
                    <a:extLst xmlns:a="http://schemas.openxmlformats.org/drawingml/2006/main">
                      <a:ext uri="{FF2B5EF4-FFF2-40B4-BE49-F238E27FC236}">
                        <a16:creationId xmlns:a16="http://schemas.microsoft.com/office/drawing/2014/main" id="{F2B9964C-F268-40C1-806A-DB7B64499240}"/>
                      </a:ext>
                    </a:extLst>
                  </wp:docPr>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5"/>
                          <a:stretch>
                            <a:fillRect/>
                          </a:stretch>
                        </pic:blipFill>
                        <pic:spPr>
                          <a:xfrm>
                            <a:off x="0" y="0"/>
                            <a:ext cx="4478783" cy="1054735"/>
                          </a:xfrm>
                          <a:prstGeom prst="rect">
                            <a:avLst/>
                          </a:prstGeom>
                        </pic:spPr>
                      </pic:pic>
                    </a:graphicData>
                  </a:graphic>
                </wp:inline>
              </w:drawing>
            </w:r>
            <w:r>
              <w:rPr>
                <w:b/>
                <w:color w:val="C00000"/>
                <w:sz w:val="48"/>
              </w:rPr>
              <w:t xml:space="preserve"> </w:t>
            </w:r>
          </w:p>
          <w:p w14:paraId="7A17F3FD" w14:textId="77777777" w:rsidR="007258E8" w:rsidRDefault="00F22D5F">
            <w:pPr>
              <w:spacing w:after="164"/>
              <w:ind w:left="26"/>
              <w:jc w:val="center"/>
            </w:pPr>
            <w:r>
              <w:rPr>
                <w:b/>
                <w:color w:val="C00000"/>
                <w:sz w:val="48"/>
              </w:rPr>
              <w:t xml:space="preserve">Special Educational Needs (SEN) Information Report </w:t>
            </w:r>
          </w:p>
          <w:p w14:paraId="03F82667" w14:textId="5AFE6B7E" w:rsidR="007258E8" w:rsidRDefault="00F22D5F">
            <w:pPr>
              <w:ind w:left="23"/>
              <w:jc w:val="center"/>
            </w:pPr>
            <w:r>
              <w:rPr>
                <w:b/>
                <w:color w:val="C00000"/>
                <w:sz w:val="48"/>
              </w:rPr>
              <w:t>202</w:t>
            </w:r>
            <w:r w:rsidR="00460E2A">
              <w:rPr>
                <w:b/>
                <w:color w:val="C00000"/>
                <w:sz w:val="48"/>
              </w:rPr>
              <w:t>5</w:t>
            </w:r>
            <w:r>
              <w:rPr>
                <w:b/>
                <w:color w:val="C00000"/>
                <w:sz w:val="48"/>
              </w:rPr>
              <w:t>/202</w:t>
            </w:r>
            <w:r w:rsidR="00460E2A">
              <w:rPr>
                <w:b/>
                <w:color w:val="C00000"/>
                <w:sz w:val="48"/>
              </w:rPr>
              <w:t>6</w:t>
            </w:r>
            <w:r>
              <w:rPr>
                <w:b/>
                <w:sz w:val="48"/>
              </w:rPr>
              <w:t xml:space="preserve"> </w:t>
            </w:r>
          </w:p>
          <w:p w14:paraId="61E5F53D" w14:textId="77777777" w:rsidR="007258E8" w:rsidRDefault="00F22D5F">
            <w:pPr>
              <w:ind w:left="53"/>
            </w:pPr>
            <w:r>
              <w:rPr>
                <w:rFonts w:ascii="Arial" w:eastAsia="Arial" w:hAnsi="Arial" w:cs="Arial"/>
                <w:i/>
                <w:color w:val="081204"/>
                <w:sz w:val="28"/>
              </w:rPr>
              <w:t xml:space="preserve">“At The Westgate School our values and ethos are based on the fundamental belief that we are a community of learners </w:t>
            </w:r>
          </w:p>
          <w:p w14:paraId="4DFE0B5D" w14:textId="77777777" w:rsidR="007258E8" w:rsidRDefault="00F22D5F">
            <w:pPr>
              <w:spacing w:after="576" w:line="241" w:lineRule="auto"/>
              <w:ind w:left="341" w:right="92" w:hanging="245"/>
              <w:jc w:val="both"/>
            </w:pPr>
            <w:r>
              <w:rPr>
                <w:rFonts w:ascii="Arial" w:eastAsia="Arial" w:hAnsi="Arial" w:cs="Arial"/>
                <w:i/>
                <w:color w:val="081204"/>
                <w:sz w:val="28"/>
              </w:rPr>
              <w:t>- adults and pupils alike - in which every individual should be enabled to enjoy learning, develop as a happy and healthy individual who is able to make a unique and positive contribution to society: learning together, achieving excellence.”</w:t>
            </w:r>
            <w:r>
              <w:rPr>
                <w:rFonts w:ascii="Arial" w:eastAsia="Arial" w:hAnsi="Arial" w:cs="Arial"/>
                <w:i/>
                <w:color w:val="081204"/>
                <w:sz w:val="30"/>
              </w:rPr>
              <w:t xml:space="preserve">  </w:t>
            </w:r>
            <w:r>
              <w:rPr>
                <w:rFonts w:ascii="Arial" w:eastAsia="Arial" w:hAnsi="Arial" w:cs="Arial"/>
                <w:color w:val="0E0E0E"/>
                <w:sz w:val="24"/>
              </w:rPr>
              <w:t>Mrs Dean - Headteacher</w:t>
            </w:r>
            <w:r>
              <w:rPr>
                <w:rFonts w:ascii="Arial" w:eastAsia="Arial" w:hAnsi="Arial" w:cs="Arial"/>
                <w:sz w:val="24"/>
              </w:rPr>
              <w:t xml:space="preserve"> </w:t>
            </w:r>
          </w:p>
          <w:p w14:paraId="2606BF56" w14:textId="77777777" w:rsidR="007258E8" w:rsidRDefault="00F22D5F">
            <w:pPr>
              <w:spacing w:after="216"/>
            </w:pPr>
            <w:r>
              <w:rPr>
                <w:sz w:val="28"/>
              </w:rPr>
              <w:t xml:space="preserve">At The Westgate School: </w:t>
            </w:r>
          </w:p>
          <w:p w14:paraId="6BE703D5" w14:textId="77777777" w:rsidR="007258E8" w:rsidRDefault="00F22D5F">
            <w:pPr>
              <w:numPr>
                <w:ilvl w:val="0"/>
                <w:numId w:val="2"/>
              </w:numPr>
              <w:spacing w:after="27"/>
              <w:ind w:hanging="363"/>
            </w:pPr>
            <w:r>
              <w:rPr>
                <w:sz w:val="28"/>
              </w:rPr>
              <w:t xml:space="preserve">we believe that every teacher is a teacher of every child. </w:t>
            </w:r>
          </w:p>
          <w:p w14:paraId="188AE80F" w14:textId="77777777" w:rsidR="007258E8" w:rsidRDefault="00F22D5F">
            <w:pPr>
              <w:numPr>
                <w:ilvl w:val="0"/>
                <w:numId w:val="2"/>
              </w:numPr>
              <w:spacing w:after="29"/>
              <w:ind w:hanging="363"/>
            </w:pPr>
            <w:r>
              <w:rPr>
                <w:sz w:val="28"/>
              </w:rPr>
              <w:t xml:space="preserve">universal SEND provision is the first step in a graduated approach to SEND support </w:t>
            </w:r>
          </w:p>
          <w:p w14:paraId="23F54DA9" w14:textId="20E1464E" w:rsidR="007258E8" w:rsidRDefault="00F22D5F">
            <w:pPr>
              <w:numPr>
                <w:ilvl w:val="0"/>
                <w:numId w:val="2"/>
              </w:numPr>
              <w:spacing w:after="531" w:line="256" w:lineRule="auto"/>
              <w:ind w:hanging="363"/>
            </w:pPr>
            <w:r w:rsidRPr="1E4812B4">
              <w:rPr>
                <w:sz w:val="28"/>
                <w:szCs w:val="28"/>
              </w:rPr>
              <w:t xml:space="preserve">we recognise that there will still be some children that need provision that is additional to, or different from, that encompassed by </w:t>
            </w:r>
            <w:r w:rsidR="00460E2A" w:rsidRPr="1E4812B4">
              <w:rPr>
                <w:sz w:val="28"/>
                <w:szCs w:val="28"/>
              </w:rPr>
              <w:t xml:space="preserve">Quality First Teaching and </w:t>
            </w:r>
            <w:r w:rsidR="5CA8088F" w:rsidRPr="1E4812B4">
              <w:rPr>
                <w:sz w:val="28"/>
                <w:szCs w:val="28"/>
              </w:rPr>
              <w:t>O</w:t>
            </w:r>
            <w:r w:rsidR="00460E2A" w:rsidRPr="1E4812B4">
              <w:rPr>
                <w:sz w:val="28"/>
                <w:szCs w:val="28"/>
              </w:rPr>
              <w:t xml:space="preserve">rdinarily </w:t>
            </w:r>
            <w:r w:rsidR="58F76F4A" w:rsidRPr="1E4812B4">
              <w:rPr>
                <w:sz w:val="28"/>
                <w:szCs w:val="28"/>
              </w:rPr>
              <w:t>A</w:t>
            </w:r>
            <w:r w:rsidR="00460E2A" w:rsidRPr="1E4812B4">
              <w:rPr>
                <w:sz w:val="28"/>
                <w:szCs w:val="28"/>
              </w:rPr>
              <w:t xml:space="preserve">vailable </w:t>
            </w:r>
            <w:r w:rsidR="0DDD99D3" w:rsidRPr="1E4812B4">
              <w:rPr>
                <w:sz w:val="28"/>
                <w:szCs w:val="28"/>
              </w:rPr>
              <w:t>P</w:t>
            </w:r>
            <w:r w:rsidR="00460E2A" w:rsidRPr="1E4812B4">
              <w:rPr>
                <w:sz w:val="28"/>
                <w:szCs w:val="28"/>
              </w:rPr>
              <w:t>rovision</w:t>
            </w:r>
            <w:r w:rsidRPr="1E4812B4">
              <w:rPr>
                <w:sz w:val="28"/>
                <w:szCs w:val="28"/>
              </w:rPr>
              <w:t xml:space="preserve">. </w:t>
            </w:r>
          </w:p>
          <w:p w14:paraId="14B10771" w14:textId="77777777" w:rsidR="007258E8" w:rsidRDefault="00F22D5F">
            <w:pPr>
              <w:ind w:right="226"/>
              <w:jc w:val="both"/>
            </w:pPr>
            <w:r>
              <w:rPr>
                <w:sz w:val="28"/>
              </w:rPr>
              <w:t xml:space="preserve">This SEND Information Report outlines how we support pupils with Special Educational Needs and Disabilities (SEND), to help them realise their full potential, make outstanding academic and personal progress and grow to be equipped for their future lives. Provision may change and develop over time to suit the individual needs of the learner. The information required to be included in the SEND Information Report is stated in The Special Educational Needs and Disability Regulations 2014. </w:t>
            </w:r>
          </w:p>
        </w:tc>
      </w:tr>
    </w:tbl>
    <w:p w14:paraId="05DDDCED" w14:textId="77777777" w:rsidR="007258E8" w:rsidRDefault="00F22D5F">
      <w:pPr>
        <w:spacing w:after="172"/>
        <w:ind w:left="-821"/>
        <w:jc w:val="both"/>
      </w:pPr>
      <w:r>
        <w:rPr>
          <w:sz w:val="20"/>
        </w:rPr>
        <w:lastRenderedPageBreak/>
        <w:t xml:space="preserve"> </w:t>
      </w:r>
    </w:p>
    <w:p w14:paraId="2B711770" w14:textId="77777777" w:rsidR="007258E8" w:rsidRDefault="00F22D5F">
      <w:pPr>
        <w:spacing w:after="0"/>
        <w:ind w:left="-821"/>
        <w:jc w:val="both"/>
      </w:pPr>
      <w:r>
        <w:rPr>
          <w:sz w:val="20"/>
        </w:rPr>
        <w:t xml:space="preserve"> </w:t>
      </w:r>
    </w:p>
    <w:tbl>
      <w:tblPr>
        <w:tblStyle w:val="TableGrid"/>
        <w:tblW w:w="15312" w:type="dxa"/>
        <w:tblInd w:w="-714" w:type="dxa"/>
        <w:tblCellMar>
          <w:top w:w="51" w:type="dxa"/>
          <w:left w:w="4" w:type="dxa"/>
          <w:right w:w="170" w:type="dxa"/>
        </w:tblCellMar>
        <w:tblLook w:val="04A0" w:firstRow="1" w:lastRow="0" w:firstColumn="1" w:lastColumn="0" w:noHBand="0" w:noVBand="1"/>
      </w:tblPr>
      <w:tblGrid>
        <w:gridCol w:w="2690"/>
        <w:gridCol w:w="12622"/>
      </w:tblGrid>
      <w:tr w:rsidR="007258E8" w14:paraId="330C04A0" w14:textId="77777777">
        <w:trPr>
          <w:trHeight w:val="347"/>
        </w:trPr>
        <w:tc>
          <w:tcPr>
            <w:tcW w:w="2690" w:type="dxa"/>
            <w:tcBorders>
              <w:top w:val="single" w:sz="4" w:space="0" w:color="000000"/>
              <w:left w:val="single" w:sz="4" w:space="0" w:color="000000"/>
              <w:bottom w:val="single" w:sz="4" w:space="0" w:color="000000"/>
              <w:right w:val="single" w:sz="4" w:space="0" w:color="000000"/>
            </w:tcBorders>
            <w:shd w:val="clear" w:color="auto" w:fill="E7E6E6"/>
          </w:tcPr>
          <w:p w14:paraId="2C9CE507" w14:textId="77777777" w:rsidR="007258E8" w:rsidRDefault="00F22D5F" w:rsidP="0030477F">
            <w:pPr>
              <w:ind w:left="115"/>
            </w:pPr>
            <w:r>
              <w:rPr>
                <w:b/>
                <w:sz w:val="28"/>
              </w:rPr>
              <w:t xml:space="preserve">Regulation </w:t>
            </w:r>
          </w:p>
        </w:tc>
        <w:tc>
          <w:tcPr>
            <w:tcW w:w="12622" w:type="dxa"/>
            <w:tcBorders>
              <w:top w:val="single" w:sz="4" w:space="0" w:color="000000"/>
              <w:left w:val="single" w:sz="4" w:space="0" w:color="000000"/>
              <w:bottom w:val="single" w:sz="4" w:space="0" w:color="000000"/>
              <w:right w:val="single" w:sz="4" w:space="0" w:color="000000"/>
            </w:tcBorders>
            <w:shd w:val="clear" w:color="auto" w:fill="E7E6E6"/>
          </w:tcPr>
          <w:p w14:paraId="1A0B0002" w14:textId="77777777" w:rsidR="007258E8" w:rsidRDefault="00F22D5F" w:rsidP="0030477F">
            <w:pPr>
              <w:ind w:left="112"/>
            </w:pPr>
            <w:r>
              <w:rPr>
                <w:b/>
                <w:sz w:val="28"/>
              </w:rPr>
              <w:t xml:space="preserve">School provision </w:t>
            </w:r>
          </w:p>
        </w:tc>
      </w:tr>
      <w:tr w:rsidR="007258E8" w14:paraId="243FBB34" w14:textId="77777777">
        <w:trPr>
          <w:trHeight w:val="2651"/>
        </w:trPr>
        <w:tc>
          <w:tcPr>
            <w:tcW w:w="2690" w:type="dxa"/>
            <w:tcBorders>
              <w:top w:val="single" w:sz="4" w:space="0" w:color="000000"/>
              <w:left w:val="single" w:sz="4" w:space="0" w:color="000000"/>
              <w:bottom w:val="single" w:sz="4" w:space="0" w:color="000000"/>
              <w:right w:val="single" w:sz="4" w:space="0" w:color="000000"/>
            </w:tcBorders>
          </w:tcPr>
          <w:p w14:paraId="6F1A34EE" w14:textId="77777777" w:rsidR="007258E8" w:rsidRDefault="00F22D5F" w:rsidP="0030477F">
            <w:pPr>
              <w:spacing w:line="241" w:lineRule="auto"/>
              <w:ind w:left="115" w:right="131"/>
            </w:pPr>
            <w:r>
              <w:rPr>
                <w:sz w:val="24"/>
              </w:rPr>
              <w:t xml:space="preserve">The kinds of special educational needs for which provision is made at the school. </w:t>
            </w:r>
          </w:p>
          <w:p w14:paraId="5B6D8140" w14:textId="77777777" w:rsidR="007258E8" w:rsidRDefault="00F22D5F" w:rsidP="0030477F">
            <w:r>
              <w:rPr>
                <w:sz w:val="24"/>
              </w:rPr>
              <w:t xml:space="preserve"> </w:t>
            </w:r>
          </w:p>
          <w:p w14:paraId="13045895" w14:textId="77777777" w:rsidR="007258E8" w:rsidRDefault="00F22D5F" w:rsidP="0030477F">
            <w:pPr>
              <w:ind w:left="115" w:right="223"/>
            </w:pPr>
            <w:r>
              <w:rPr>
                <w:i/>
                <w:sz w:val="24"/>
              </w:rPr>
              <w:t xml:space="preserve">What kinds of SEND do pupils have in your school? </w:t>
            </w:r>
          </w:p>
        </w:tc>
        <w:tc>
          <w:tcPr>
            <w:tcW w:w="12622" w:type="dxa"/>
            <w:tcBorders>
              <w:top w:val="single" w:sz="4" w:space="0" w:color="000000"/>
              <w:left w:val="single" w:sz="4" w:space="0" w:color="000000"/>
              <w:bottom w:val="single" w:sz="4" w:space="0" w:color="000000"/>
              <w:right w:val="single" w:sz="4" w:space="0" w:color="000000"/>
            </w:tcBorders>
          </w:tcPr>
          <w:p w14:paraId="67115776" w14:textId="77777777" w:rsidR="00655789" w:rsidRDefault="00655789" w:rsidP="0030477F">
            <w:pPr>
              <w:spacing w:line="240" w:lineRule="auto"/>
            </w:pPr>
            <w:r>
              <w:rPr>
                <w:sz w:val="24"/>
              </w:rPr>
              <w:t xml:space="preserve">Pupils are identified as having SEND: </w:t>
            </w:r>
          </w:p>
          <w:p w14:paraId="1F552ECC" w14:textId="77777777" w:rsidR="00655789" w:rsidRPr="00655789" w:rsidRDefault="00655789" w:rsidP="0030477F">
            <w:pPr>
              <w:pStyle w:val="ListParagraph"/>
              <w:numPr>
                <w:ilvl w:val="0"/>
                <w:numId w:val="7"/>
              </w:numPr>
              <w:spacing w:line="240" w:lineRule="auto"/>
              <w:rPr>
                <w:sz w:val="24"/>
              </w:rPr>
            </w:pPr>
            <w:r w:rsidRPr="00655789">
              <w:rPr>
                <w:sz w:val="24"/>
              </w:rPr>
              <w:t>if they have a significantly greater difficulty in learning than the majority of others of the same age</w:t>
            </w:r>
          </w:p>
          <w:p w14:paraId="21F1154A" w14:textId="77777777" w:rsidR="00655789" w:rsidRPr="00655789" w:rsidRDefault="00655789" w:rsidP="0030477F">
            <w:pPr>
              <w:pStyle w:val="ListParagraph"/>
              <w:numPr>
                <w:ilvl w:val="0"/>
                <w:numId w:val="7"/>
              </w:numPr>
              <w:spacing w:line="240" w:lineRule="auto"/>
              <w:rPr>
                <w:sz w:val="24"/>
              </w:rPr>
            </w:pPr>
            <w:r w:rsidRPr="00655789">
              <w:rPr>
                <w:sz w:val="24"/>
              </w:rPr>
              <w:t xml:space="preserve">if they have a disability or health condition which prevents or hinders them from making use of educational facilities of a kind generally provided for children of the same age in mainstream schools </w:t>
            </w:r>
            <w:r w:rsidRPr="00655789">
              <w:rPr>
                <w:rFonts w:ascii="Calibri" w:eastAsia="Calibri" w:hAnsi="Calibri" w:cs="Calibri"/>
                <w:sz w:val="24"/>
              </w:rPr>
              <w:t>(SEND Code of Practice, 2015)</w:t>
            </w:r>
          </w:p>
          <w:p w14:paraId="38CA6ECE" w14:textId="77777777" w:rsidR="00655789" w:rsidRPr="00655789" w:rsidRDefault="00655789" w:rsidP="0030477F">
            <w:pPr>
              <w:pStyle w:val="ListParagraph"/>
              <w:numPr>
                <w:ilvl w:val="0"/>
                <w:numId w:val="7"/>
              </w:numPr>
              <w:spacing w:line="240" w:lineRule="auto"/>
              <w:rPr>
                <w:sz w:val="24"/>
              </w:rPr>
            </w:pPr>
            <w:r w:rsidRPr="00655789">
              <w:rPr>
                <w:sz w:val="24"/>
              </w:rPr>
              <w:t>Under the Equality Act 2010, a disability is a physical or mental impairment, which has a long-term and substantial adverse effect on their ability to carry out normal day-to-day activities</w:t>
            </w:r>
          </w:p>
          <w:p w14:paraId="63985C14" w14:textId="77777777" w:rsidR="00655789" w:rsidRDefault="00655789" w:rsidP="0030477F">
            <w:pPr>
              <w:ind w:left="112"/>
              <w:rPr>
                <w:sz w:val="24"/>
              </w:rPr>
            </w:pPr>
          </w:p>
          <w:p w14:paraId="78991822" w14:textId="3B8E77D8" w:rsidR="007258E8" w:rsidRDefault="00F22D5F" w:rsidP="0030477F">
            <w:pPr>
              <w:ind w:left="112"/>
            </w:pPr>
            <w:r>
              <w:rPr>
                <w:sz w:val="24"/>
              </w:rPr>
              <w:t xml:space="preserve">The Westgate School supports pupils with a range of Special Educational Needs including Communication and Interaction; Cognition and Learning; Social, Emotional and Mental Health and Sensory or Physical difficulties. </w:t>
            </w:r>
          </w:p>
        </w:tc>
      </w:tr>
      <w:tr w:rsidR="007258E8" w14:paraId="3B989708" w14:textId="77777777">
        <w:trPr>
          <w:trHeight w:val="5977"/>
        </w:trPr>
        <w:tc>
          <w:tcPr>
            <w:tcW w:w="2690" w:type="dxa"/>
            <w:tcBorders>
              <w:top w:val="single" w:sz="4" w:space="0" w:color="000000"/>
              <w:left w:val="single" w:sz="4" w:space="0" w:color="000000"/>
              <w:bottom w:val="single" w:sz="4" w:space="0" w:color="000000"/>
              <w:right w:val="single" w:sz="4" w:space="0" w:color="000000"/>
            </w:tcBorders>
          </w:tcPr>
          <w:p w14:paraId="3BFD6E44" w14:textId="77777777" w:rsidR="007258E8" w:rsidRDefault="00F22D5F" w:rsidP="0030477F">
            <w:pPr>
              <w:spacing w:after="290" w:line="240" w:lineRule="auto"/>
              <w:ind w:left="115" w:right="184"/>
            </w:pPr>
            <w:r>
              <w:rPr>
                <w:sz w:val="24"/>
              </w:rPr>
              <w:t xml:space="preserve">Policies for identifying children and young people with SEN and assessing their needs, including the name and contact details of the SENCO. </w:t>
            </w:r>
          </w:p>
          <w:p w14:paraId="047BFF46" w14:textId="77777777" w:rsidR="007258E8" w:rsidRDefault="00F22D5F" w:rsidP="0030477F">
            <w:pPr>
              <w:ind w:left="115"/>
            </w:pPr>
            <w:r>
              <w:rPr>
                <w:i/>
                <w:sz w:val="24"/>
              </w:rPr>
              <w:t xml:space="preserve">How do you know if a pupil needs extra help? </w:t>
            </w:r>
          </w:p>
        </w:tc>
        <w:tc>
          <w:tcPr>
            <w:tcW w:w="12622" w:type="dxa"/>
            <w:tcBorders>
              <w:top w:val="single" w:sz="4" w:space="0" w:color="000000"/>
              <w:left w:val="single" w:sz="4" w:space="0" w:color="000000"/>
              <w:bottom w:val="single" w:sz="4" w:space="0" w:color="000000"/>
              <w:right w:val="single" w:sz="4" w:space="0" w:color="000000"/>
            </w:tcBorders>
          </w:tcPr>
          <w:p w14:paraId="23FCC85E" w14:textId="25063FEE" w:rsidR="007258E8" w:rsidRDefault="00F22D5F" w:rsidP="0030477F">
            <w:pPr>
              <w:spacing w:line="240" w:lineRule="auto"/>
              <w:ind w:left="112" w:right="348"/>
            </w:pPr>
            <w:r>
              <w:rPr>
                <w:sz w:val="24"/>
              </w:rPr>
              <w:t>Identifying pupils with SEND is a process that involves responding to the information we are given, and the information we collect, about your child. This first happens when your child transitions to us from their pre-school or nursery to reception in our primary phase or from their primary school to our secondary phase. As part of this process, we listen to the views of the adults who have been working with your child, for example their previous SENDC</w:t>
            </w:r>
            <w:r w:rsidR="00460E2A">
              <w:rPr>
                <w:sz w:val="24"/>
              </w:rPr>
              <w:t>o</w:t>
            </w:r>
            <w:r>
              <w:rPr>
                <w:sz w:val="24"/>
              </w:rPr>
              <w:t xml:space="preserve">, parents/carers and your child. </w:t>
            </w:r>
          </w:p>
          <w:p w14:paraId="339F90DF" w14:textId="77777777" w:rsidR="007258E8" w:rsidRDefault="00F22D5F" w:rsidP="0030477F">
            <w:pPr>
              <w:ind w:left="1"/>
            </w:pPr>
            <w:r>
              <w:rPr>
                <w:sz w:val="24"/>
              </w:rPr>
              <w:t xml:space="preserve"> </w:t>
            </w:r>
          </w:p>
          <w:p w14:paraId="0B8582DF" w14:textId="77777777" w:rsidR="007258E8" w:rsidRDefault="00F22D5F" w:rsidP="0030477F">
            <w:pPr>
              <w:spacing w:after="6" w:line="241" w:lineRule="auto"/>
              <w:ind w:left="112" w:right="54"/>
            </w:pPr>
            <w:r>
              <w:rPr>
                <w:sz w:val="24"/>
              </w:rPr>
              <w:t xml:space="preserve">SEND is often identified by class teachers who notice pupils who are not making age-related progress and/or are having specific difficulties e.g. speed of processing, understanding material and handwriting. In the secondary phase, Year Leaders will undertake a Graduated Response in supporting your child, completing the Assess, Plan, Do, Review Cycle. A similar approach is undertaken by primary class teachers. The cycle involves: </w:t>
            </w:r>
          </w:p>
          <w:p w14:paraId="1BFA5FE8" w14:textId="77777777" w:rsidR="007258E8" w:rsidRDefault="00F22D5F" w:rsidP="0030477F">
            <w:pPr>
              <w:ind w:left="112"/>
            </w:pPr>
            <w:r>
              <w:rPr>
                <w:b/>
                <w:sz w:val="24"/>
              </w:rPr>
              <w:t xml:space="preserve">Assess </w:t>
            </w:r>
          </w:p>
          <w:p w14:paraId="6F3E1847" w14:textId="3B8364A4" w:rsidR="007258E8" w:rsidRDefault="00F22D5F" w:rsidP="0030477F">
            <w:pPr>
              <w:spacing w:after="23"/>
              <w:ind w:left="112"/>
            </w:pPr>
            <w:r>
              <w:rPr>
                <w:sz w:val="24"/>
              </w:rPr>
              <w:t xml:space="preserve">A clearer understanding of the pupil’s needs is developed by reviewing </w:t>
            </w:r>
            <w:r w:rsidR="00655789">
              <w:rPr>
                <w:sz w:val="24"/>
              </w:rPr>
              <w:t xml:space="preserve">a range of </w:t>
            </w:r>
            <w:r>
              <w:rPr>
                <w:sz w:val="24"/>
              </w:rPr>
              <w:t xml:space="preserve">information </w:t>
            </w:r>
            <w:r w:rsidR="00655789">
              <w:rPr>
                <w:sz w:val="24"/>
              </w:rPr>
              <w:t>which may include</w:t>
            </w:r>
            <w:r>
              <w:rPr>
                <w:sz w:val="24"/>
              </w:rPr>
              <w:t xml:space="preserve">: </w:t>
            </w:r>
          </w:p>
          <w:p w14:paraId="3C364332" w14:textId="77777777" w:rsidR="007258E8" w:rsidRDefault="00F22D5F" w:rsidP="0030477F">
            <w:pPr>
              <w:numPr>
                <w:ilvl w:val="0"/>
                <w:numId w:val="6"/>
              </w:numPr>
              <w:ind w:left="830" w:hanging="358"/>
            </w:pPr>
            <w:r>
              <w:rPr>
                <w:color w:val="363738"/>
                <w:sz w:val="24"/>
              </w:rPr>
              <w:t>entry data and transition records</w:t>
            </w:r>
            <w:r>
              <w:rPr>
                <w:rFonts w:ascii="Segoe UI Symbol" w:eastAsia="Segoe UI Symbol" w:hAnsi="Segoe UI Symbol" w:cs="Segoe UI Symbol"/>
                <w:color w:val="363738"/>
                <w:sz w:val="24"/>
              </w:rPr>
              <w:t xml:space="preserve"> </w:t>
            </w:r>
          </w:p>
          <w:p w14:paraId="08BCA21E" w14:textId="77777777" w:rsidR="007258E8" w:rsidRDefault="00F22D5F" w:rsidP="0030477F">
            <w:pPr>
              <w:numPr>
                <w:ilvl w:val="0"/>
                <w:numId w:val="6"/>
              </w:numPr>
              <w:ind w:left="830" w:hanging="358"/>
            </w:pPr>
            <w:r>
              <w:rPr>
                <w:sz w:val="24"/>
              </w:rPr>
              <w:t>baseline testing (e.g. CATs)</w:t>
            </w:r>
            <w:r>
              <w:rPr>
                <w:rFonts w:ascii="Segoe UI Symbol" w:eastAsia="Segoe UI Symbol" w:hAnsi="Segoe UI Symbol" w:cs="Segoe UI Symbol"/>
                <w:color w:val="363738"/>
                <w:sz w:val="24"/>
              </w:rPr>
              <w:t xml:space="preserve"> </w:t>
            </w:r>
          </w:p>
          <w:p w14:paraId="47A42147" w14:textId="77777777" w:rsidR="007258E8" w:rsidRDefault="00F22D5F" w:rsidP="0030477F">
            <w:pPr>
              <w:numPr>
                <w:ilvl w:val="0"/>
                <w:numId w:val="6"/>
              </w:numPr>
              <w:spacing w:after="3"/>
              <w:ind w:left="830" w:hanging="358"/>
            </w:pPr>
            <w:r>
              <w:rPr>
                <w:color w:val="363738"/>
                <w:sz w:val="24"/>
              </w:rPr>
              <w:t>attendance, attainment, and behaviour reports</w:t>
            </w:r>
            <w:r>
              <w:rPr>
                <w:rFonts w:ascii="Segoe UI Symbol" w:eastAsia="Segoe UI Symbol" w:hAnsi="Segoe UI Symbol" w:cs="Segoe UI Symbol"/>
                <w:color w:val="363738"/>
                <w:sz w:val="24"/>
              </w:rPr>
              <w:t xml:space="preserve"> </w:t>
            </w:r>
          </w:p>
          <w:p w14:paraId="7E9D8C76" w14:textId="77777777" w:rsidR="007258E8" w:rsidRDefault="00F22D5F" w:rsidP="0030477F">
            <w:pPr>
              <w:numPr>
                <w:ilvl w:val="0"/>
                <w:numId w:val="6"/>
              </w:numPr>
              <w:ind w:left="830" w:hanging="358"/>
            </w:pPr>
            <w:r>
              <w:rPr>
                <w:color w:val="363738"/>
                <w:sz w:val="24"/>
              </w:rPr>
              <w:t>parent/carer feedback</w:t>
            </w:r>
            <w:r>
              <w:rPr>
                <w:rFonts w:ascii="Segoe UI Symbol" w:eastAsia="Segoe UI Symbol" w:hAnsi="Segoe UI Symbol" w:cs="Segoe UI Symbol"/>
                <w:color w:val="363738"/>
                <w:sz w:val="24"/>
              </w:rPr>
              <w:t xml:space="preserve"> </w:t>
            </w:r>
          </w:p>
          <w:p w14:paraId="7D228BBE" w14:textId="77777777" w:rsidR="007258E8" w:rsidRDefault="00F22D5F" w:rsidP="0030477F">
            <w:pPr>
              <w:numPr>
                <w:ilvl w:val="0"/>
                <w:numId w:val="6"/>
              </w:numPr>
              <w:ind w:left="830" w:hanging="358"/>
            </w:pPr>
            <w:r>
              <w:rPr>
                <w:color w:val="363738"/>
                <w:sz w:val="24"/>
              </w:rPr>
              <w:t>specialist assessments</w:t>
            </w:r>
            <w:r>
              <w:rPr>
                <w:rFonts w:ascii="Segoe UI Symbol" w:eastAsia="Segoe UI Symbol" w:hAnsi="Segoe UI Symbol" w:cs="Segoe UI Symbol"/>
                <w:color w:val="363738"/>
                <w:sz w:val="24"/>
              </w:rPr>
              <w:t xml:space="preserve"> </w:t>
            </w:r>
          </w:p>
          <w:p w14:paraId="3157E20C" w14:textId="77777777" w:rsidR="007258E8" w:rsidRDefault="00F22D5F" w:rsidP="0030477F">
            <w:pPr>
              <w:numPr>
                <w:ilvl w:val="0"/>
                <w:numId w:val="6"/>
              </w:numPr>
              <w:ind w:left="830" w:hanging="358"/>
            </w:pPr>
            <w:r>
              <w:rPr>
                <w:sz w:val="24"/>
              </w:rPr>
              <w:t>external agency reports</w:t>
            </w:r>
            <w:r>
              <w:rPr>
                <w:rFonts w:ascii="Segoe UI Symbol" w:eastAsia="Segoe UI Symbol" w:hAnsi="Segoe UI Symbol" w:cs="Segoe UI Symbol"/>
                <w:color w:val="363738"/>
                <w:sz w:val="24"/>
              </w:rPr>
              <w:t xml:space="preserve"> </w:t>
            </w:r>
          </w:p>
          <w:p w14:paraId="1387C11A" w14:textId="53C51CA2" w:rsidR="007258E8" w:rsidRDefault="00655789" w:rsidP="0030477F">
            <w:pPr>
              <w:spacing w:after="18"/>
              <w:ind w:left="112"/>
            </w:pPr>
            <w:r>
              <w:rPr>
                <w:color w:val="363738"/>
                <w:sz w:val="24"/>
              </w:rPr>
              <w:t xml:space="preserve">A further </w:t>
            </w:r>
            <w:r w:rsidR="00F22D5F">
              <w:rPr>
                <w:color w:val="363738"/>
                <w:sz w:val="24"/>
              </w:rPr>
              <w:t xml:space="preserve">stage may also </w:t>
            </w:r>
            <w:r w:rsidR="00F22D5F">
              <w:rPr>
                <w:sz w:val="24"/>
              </w:rPr>
              <w:t xml:space="preserve">involve a referral to our internal assessor for specific testing. This can include: </w:t>
            </w:r>
          </w:p>
          <w:p w14:paraId="5A07B4A5" w14:textId="77777777" w:rsidR="007258E8" w:rsidRDefault="00F22D5F" w:rsidP="0030477F">
            <w:pPr>
              <w:numPr>
                <w:ilvl w:val="0"/>
                <w:numId w:val="6"/>
              </w:numPr>
              <w:ind w:left="830" w:hanging="358"/>
            </w:pPr>
            <w:r>
              <w:rPr>
                <w:sz w:val="24"/>
              </w:rPr>
              <w:t>BPVS (vocabulary test looking at receptive language)</w:t>
            </w:r>
            <w:r>
              <w:rPr>
                <w:rFonts w:ascii="Segoe UI Symbol" w:eastAsia="Segoe UI Symbol" w:hAnsi="Segoe UI Symbol" w:cs="Segoe UI Symbol"/>
                <w:sz w:val="24"/>
              </w:rPr>
              <w:t xml:space="preserve"> </w:t>
            </w:r>
          </w:p>
          <w:p w14:paraId="74AA129A" w14:textId="77777777" w:rsidR="007258E8" w:rsidRDefault="00F22D5F" w:rsidP="0030477F">
            <w:pPr>
              <w:numPr>
                <w:ilvl w:val="0"/>
                <w:numId w:val="6"/>
              </w:numPr>
              <w:ind w:left="830" w:hanging="358"/>
            </w:pPr>
            <w:r>
              <w:rPr>
                <w:sz w:val="24"/>
              </w:rPr>
              <w:t>A range of reading tests (that give us an idea about a pupil’s level of reading difficulty)</w:t>
            </w:r>
            <w:r>
              <w:rPr>
                <w:rFonts w:ascii="Segoe UI Symbol" w:eastAsia="Segoe UI Symbol" w:hAnsi="Segoe UI Symbol" w:cs="Segoe UI Symbol"/>
                <w:sz w:val="24"/>
              </w:rPr>
              <w:t xml:space="preserve"> </w:t>
            </w:r>
          </w:p>
        </w:tc>
      </w:tr>
    </w:tbl>
    <w:p w14:paraId="67E6D5C3" w14:textId="77777777" w:rsidR="007258E8" w:rsidRDefault="007258E8" w:rsidP="0030477F">
      <w:pPr>
        <w:spacing w:after="0"/>
        <w:ind w:left="-1440" w:right="15410"/>
      </w:pPr>
    </w:p>
    <w:tbl>
      <w:tblPr>
        <w:tblStyle w:val="TableGrid"/>
        <w:tblW w:w="15314" w:type="dxa"/>
        <w:tblInd w:w="-715" w:type="dxa"/>
        <w:tblCellMar>
          <w:top w:w="14" w:type="dxa"/>
          <w:left w:w="5" w:type="dxa"/>
          <w:right w:w="241" w:type="dxa"/>
        </w:tblCellMar>
        <w:tblLook w:val="04A0" w:firstRow="1" w:lastRow="0" w:firstColumn="1" w:lastColumn="0" w:noHBand="0" w:noVBand="1"/>
      </w:tblPr>
      <w:tblGrid>
        <w:gridCol w:w="2691"/>
        <w:gridCol w:w="12623"/>
      </w:tblGrid>
      <w:tr w:rsidR="007258E8" w14:paraId="38EAD4B6" w14:textId="77777777" w:rsidTr="1E4812B4">
        <w:trPr>
          <w:trHeight w:val="7101"/>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37B19" w14:textId="77777777" w:rsidR="007258E8" w:rsidRDefault="00F22D5F" w:rsidP="0030477F">
            <w:r>
              <w:rPr>
                <w:rFonts w:ascii="Times New Roman" w:eastAsia="Times New Roman" w:hAnsi="Times New Roman" w:cs="Times New Roman"/>
                <w:sz w:val="24"/>
              </w:rPr>
              <w:t xml:space="preserve"> </w:t>
            </w:r>
          </w:p>
        </w:tc>
        <w:tc>
          <w:tcPr>
            <w:tcW w:w="1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3F15" w14:textId="77777777" w:rsidR="007258E8" w:rsidRDefault="00F22D5F" w:rsidP="0030477F">
            <w:pPr>
              <w:ind w:left="110"/>
            </w:pPr>
            <w:r>
              <w:rPr>
                <w:b/>
                <w:sz w:val="24"/>
              </w:rPr>
              <w:t xml:space="preserve">Plan </w:t>
            </w:r>
          </w:p>
          <w:p w14:paraId="219EC9AB" w14:textId="77777777" w:rsidR="007258E8" w:rsidRDefault="00F22D5F" w:rsidP="0030477F">
            <w:pPr>
              <w:spacing w:after="18"/>
              <w:ind w:left="110"/>
            </w:pPr>
            <w:r>
              <w:rPr>
                <w:sz w:val="24"/>
              </w:rPr>
              <w:t xml:space="preserve">Teachers consider </w:t>
            </w:r>
          </w:p>
          <w:p w14:paraId="271580C0" w14:textId="3B959CE8" w:rsidR="00655789" w:rsidRPr="00655789" w:rsidRDefault="349C2626" w:rsidP="1E4812B4">
            <w:pPr>
              <w:numPr>
                <w:ilvl w:val="0"/>
                <w:numId w:val="14"/>
              </w:numPr>
              <w:spacing w:after="9" w:line="238" w:lineRule="auto"/>
              <w:ind w:hanging="361"/>
              <w:rPr>
                <w:sz w:val="24"/>
              </w:rPr>
            </w:pPr>
            <w:r w:rsidRPr="1E4812B4">
              <w:rPr>
                <w:sz w:val="24"/>
              </w:rPr>
              <w:t xml:space="preserve">Quality First Teaching and </w:t>
            </w:r>
            <w:r w:rsidR="555B9C7E" w:rsidRPr="1E4812B4">
              <w:rPr>
                <w:sz w:val="24"/>
              </w:rPr>
              <w:t>O</w:t>
            </w:r>
            <w:r w:rsidRPr="1E4812B4">
              <w:rPr>
                <w:sz w:val="24"/>
              </w:rPr>
              <w:t xml:space="preserve">rdinarily </w:t>
            </w:r>
            <w:r w:rsidR="741FA9AA" w:rsidRPr="1E4812B4">
              <w:rPr>
                <w:sz w:val="24"/>
              </w:rPr>
              <w:t>A</w:t>
            </w:r>
            <w:r w:rsidRPr="1E4812B4">
              <w:rPr>
                <w:sz w:val="24"/>
              </w:rPr>
              <w:t xml:space="preserve">vailable </w:t>
            </w:r>
            <w:r w:rsidR="520726B9" w:rsidRPr="1E4812B4">
              <w:rPr>
                <w:sz w:val="24"/>
              </w:rPr>
              <w:t>P</w:t>
            </w:r>
            <w:r w:rsidRPr="1E4812B4">
              <w:rPr>
                <w:sz w:val="24"/>
              </w:rPr>
              <w:t>rovision</w:t>
            </w:r>
          </w:p>
          <w:p w14:paraId="43440B48" w14:textId="35D0D203" w:rsidR="007258E8" w:rsidRPr="00655789" w:rsidRDefault="00F22D5F" w:rsidP="0030477F">
            <w:pPr>
              <w:numPr>
                <w:ilvl w:val="0"/>
                <w:numId w:val="14"/>
              </w:numPr>
              <w:spacing w:after="9" w:line="238" w:lineRule="auto"/>
              <w:ind w:hanging="361"/>
            </w:pPr>
            <w:r>
              <w:rPr>
                <w:sz w:val="24"/>
              </w:rPr>
              <w:t xml:space="preserve">targeted provision - this has clear outcomes, and is time specific (e.g. bespoke curriculum, additional resources, interventions, adult support) </w:t>
            </w:r>
          </w:p>
          <w:p w14:paraId="35F7C7BC" w14:textId="440FE61E" w:rsidR="00655789" w:rsidRPr="00655789" w:rsidRDefault="00655789" w:rsidP="0030477F">
            <w:pPr>
              <w:numPr>
                <w:ilvl w:val="0"/>
                <w:numId w:val="14"/>
              </w:numPr>
              <w:spacing w:after="9" w:line="238" w:lineRule="auto"/>
              <w:ind w:hanging="361"/>
              <w:rPr>
                <w:sz w:val="24"/>
              </w:rPr>
            </w:pPr>
            <w:r w:rsidRPr="00655789">
              <w:rPr>
                <w:sz w:val="24"/>
              </w:rPr>
              <w:t>specific SEND strategies</w:t>
            </w:r>
          </w:p>
          <w:p w14:paraId="2471B4D5" w14:textId="77777777" w:rsidR="007258E8" w:rsidRDefault="00F22D5F" w:rsidP="0030477F">
            <w:pPr>
              <w:ind w:left="110"/>
            </w:pPr>
            <w:r>
              <w:rPr>
                <w:b/>
                <w:sz w:val="24"/>
              </w:rPr>
              <w:t xml:space="preserve">Do </w:t>
            </w:r>
          </w:p>
          <w:p w14:paraId="39330388" w14:textId="77777777" w:rsidR="007258E8" w:rsidRDefault="00F22D5F" w:rsidP="0030477F">
            <w:pPr>
              <w:spacing w:after="49" w:line="242" w:lineRule="auto"/>
              <w:ind w:left="110"/>
            </w:pPr>
            <w:r>
              <w:rPr>
                <w:sz w:val="24"/>
              </w:rPr>
              <w:t xml:space="preserve">Supportive strategies are trialled and the impact reviewed.  In some circumstances, the pupil is added to the SEND register if required.   If added to the SEND register, a Pupil Plan is created in collaboration with the pupil and their parents/carers. It includes: </w:t>
            </w:r>
          </w:p>
          <w:p w14:paraId="751B3C10" w14:textId="77777777" w:rsidR="007258E8" w:rsidRDefault="00F22D5F" w:rsidP="0030477F">
            <w:pPr>
              <w:numPr>
                <w:ilvl w:val="0"/>
                <w:numId w:val="14"/>
              </w:numPr>
              <w:spacing w:after="1"/>
              <w:ind w:hanging="361"/>
            </w:pPr>
            <w:r>
              <w:rPr>
                <w:sz w:val="24"/>
              </w:rPr>
              <w:t xml:space="preserve">the pupil’s strengths and areas of need </w:t>
            </w:r>
          </w:p>
          <w:p w14:paraId="30DC32D7" w14:textId="77777777" w:rsidR="007258E8" w:rsidRDefault="00F22D5F" w:rsidP="0030477F">
            <w:pPr>
              <w:numPr>
                <w:ilvl w:val="0"/>
                <w:numId w:val="14"/>
              </w:numPr>
              <w:ind w:hanging="361"/>
            </w:pPr>
            <w:r>
              <w:rPr>
                <w:sz w:val="24"/>
              </w:rPr>
              <w:t xml:space="preserve">the views of the pupil and their parents/carers </w:t>
            </w:r>
          </w:p>
          <w:p w14:paraId="0A9733DB" w14:textId="66D47B79" w:rsidR="007258E8" w:rsidRDefault="00126DDF" w:rsidP="0030477F">
            <w:pPr>
              <w:numPr>
                <w:ilvl w:val="0"/>
                <w:numId w:val="14"/>
              </w:numPr>
              <w:ind w:hanging="361"/>
            </w:pPr>
            <w:r>
              <w:rPr>
                <w:sz w:val="24"/>
              </w:rPr>
              <w:t>strategies to support p</w:t>
            </w:r>
            <w:r w:rsidR="00F22D5F">
              <w:rPr>
                <w:sz w:val="24"/>
              </w:rPr>
              <w:t>upil</w:t>
            </w:r>
            <w:r>
              <w:rPr>
                <w:sz w:val="24"/>
              </w:rPr>
              <w:t xml:space="preserve"> progress</w:t>
            </w:r>
            <w:r w:rsidR="00F22D5F">
              <w:rPr>
                <w:sz w:val="24"/>
              </w:rPr>
              <w:t xml:space="preserve"> </w:t>
            </w:r>
          </w:p>
          <w:p w14:paraId="65AD128D" w14:textId="77777777" w:rsidR="007258E8" w:rsidRDefault="00F22D5F" w:rsidP="0030477F">
            <w:pPr>
              <w:ind w:left="828"/>
            </w:pPr>
            <w:r>
              <w:rPr>
                <w:sz w:val="24"/>
              </w:rPr>
              <w:t xml:space="preserve"> </w:t>
            </w:r>
          </w:p>
          <w:p w14:paraId="3BAD9BB1" w14:textId="77777777" w:rsidR="007258E8" w:rsidRDefault="00F22D5F" w:rsidP="0030477F">
            <w:pPr>
              <w:spacing w:line="241" w:lineRule="auto"/>
              <w:ind w:left="110" w:right="177"/>
            </w:pPr>
            <w:r>
              <w:rPr>
                <w:sz w:val="24"/>
              </w:rPr>
              <w:t xml:space="preserve">In the Secondary Phase the Pupil Plan and key strategies to be implemented by teachers are shared on Edulink. This means they are available to teachers to see when they take the class register. In the Primary Phase, the class teacher implements the Pupil Plan. </w:t>
            </w:r>
          </w:p>
          <w:p w14:paraId="0E3AA16E" w14:textId="77777777" w:rsidR="007258E8" w:rsidRDefault="00F22D5F" w:rsidP="0030477F">
            <w:pPr>
              <w:ind w:left="110"/>
            </w:pPr>
            <w:r>
              <w:rPr>
                <w:sz w:val="24"/>
              </w:rPr>
              <w:t xml:space="preserve"> </w:t>
            </w:r>
          </w:p>
          <w:p w14:paraId="7A4FC16A" w14:textId="77777777" w:rsidR="007258E8" w:rsidRDefault="00F22D5F" w:rsidP="0030477F">
            <w:pPr>
              <w:ind w:left="110"/>
            </w:pPr>
            <w:r>
              <w:rPr>
                <w:b/>
                <w:sz w:val="24"/>
              </w:rPr>
              <w:t xml:space="preserve">Review </w:t>
            </w:r>
          </w:p>
          <w:p w14:paraId="60BBF225" w14:textId="77777777" w:rsidR="007258E8" w:rsidRDefault="00F22D5F" w:rsidP="0030477F">
            <w:pPr>
              <w:spacing w:after="14"/>
              <w:ind w:left="110"/>
            </w:pPr>
            <w:r>
              <w:rPr>
                <w:sz w:val="24"/>
              </w:rPr>
              <w:t xml:space="preserve">Progress is reviewed regularly and considers: </w:t>
            </w:r>
          </w:p>
          <w:p w14:paraId="25457259" w14:textId="77777777" w:rsidR="007258E8" w:rsidRDefault="00F22D5F" w:rsidP="0030477F">
            <w:pPr>
              <w:numPr>
                <w:ilvl w:val="0"/>
                <w:numId w:val="14"/>
              </w:numPr>
              <w:ind w:hanging="361"/>
            </w:pPr>
            <w:r>
              <w:rPr>
                <w:sz w:val="24"/>
              </w:rPr>
              <w:t xml:space="preserve">evidence of progress </w:t>
            </w:r>
          </w:p>
          <w:p w14:paraId="7440924D" w14:textId="77777777" w:rsidR="007258E8" w:rsidRDefault="00F22D5F" w:rsidP="0030477F">
            <w:pPr>
              <w:numPr>
                <w:ilvl w:val="0"/>
                <w:numId w:val="14"/>
              </w:numPr>
              <w:ind w:hanging="361"/>
            </w:pPr>
            <w:r>
              <w:rPr>
                <w:sz w:val="24"/>
              </w:rPr>
              <w:t xml:space="preserve">transfer of skills to the classroom </w:t>
            </w:r>
          </w:p>
          <w:p w14:paraId="6C39893C" w14:textId="77777777" w:rsidR="007258E8" w:rsidRDefault="00F22D5F" w:rsidP="0030477F">
            <w:pPr>
              <w:numPr>
                <w:ilvl w:val="0"/>
                <w:numId w:val="14"/>
              </w:numPr>
              <w:ind w:hanging="361"/>
            </w:pPr>
            <w:r>
              <w:rPr>
                <w:sz w:val="24"/>
              </w:rPr>
              <w:t xml:space="preserve">pupil, parent/carer and teachers’ views </w:t>
            </w:r>
          </w:p>
          <w:p w14:paraId="7652A6F9" w14:textId="77777777" w:rsidR="007258E8" w:rsidRDefault="00F22D5F" w:rsidP="0030477F">
            <w:pPr>
              <w:numPr>
                <w:ilvl w:val="0"/>
                <w:numId w:val="14"/>
              </w:numPr>
              <w:ind w:hanging="361"/>
            </w:pPr>
            <w:r w:rsidRPr="1E4812B4">
              <w:rPr>
                <w:sz w:val="24"/>
              </w:rPr>
              <w:t xml:space="preserve">changes to support, provision and targets </w:t>
            </w:r>
          </w:p>
          <w:p w14:paraId="3ABCCF0C" w14:textId="597B34A4" w:rsidR="1E4812B4" w:rsidRDefault="1E4812B4" w:rsidP="1E4812B4">
            <w:pPr>
              <w:ind w:left="1191"/>
              <w:rPr>
                <w:sz w:val="24"/>
              </w:rPr>
            </w:pPr>
          </w:p>
          <w:p w14:paraId="7FC5CFFD" w14:textId="59ADD37C" w:rsidR="007258E8" w:rsidRDefault="71787A9E" w:rsidP="1E4812B4">
            <w:r w:rsidRPr="1E4812B4">
              <w:rPr>
                <w:sz w:val="24"/>
              </w:rPr>
              <w:t xml:space="preserve">  Arrangements for the admission of pupils with disabilities can be found in the </w:t>
            </w:r>
            <w:hyperlink r:id="rId6">
              <w:r w:rsidR="3D9E6F16" w:rsidRPr="1E4812B4">
                <w:rPr>
                  <w:rStyle w:val="Hyperlink"/>
                  <w:sz w:val="24"/>
                </w:rPr>
                <w:t>SEND</w:t>
              </w:r>
              <w:r w:rsidRPr="1E4812B4">
                <w:rPr>
                  <w:rStyle w:val="Hyperlink"/>
                  <w:sz w:val="24"/>
                </w:rPr>
                <w:t xml:space="preserve"> policy</w:t>
              </w:r>
              <w:r w:rsidR="561F9E88" w:rsidRPr="1E4812B4">
                <w:rPr>
                  <w:rStyle w:val="Hyperlink"/>
                  <w:sz w:val="24"/>
                </w:rPr>
                <w:t>.</w:t>
              </w:r>
            </w:hyperlink>
            <w:r w:rsidR="00F22D5F" w:rsidRPr="1E4812B4">
              <w:rPr>
                <w:sz w:val="24"/>
              </w:rPr>
              <w:t xml:space="preserve"> </w:t>
            </w:r>
            <w:r w:rsidR="1D14C2AA" w:rsidRPr="1E4812B4">
              <w:rPr>
                <w:sz w:val="24"/>
              </w:rPr>
              <w:t xml:space="preserve"> </w:t>
            </w:r>
          </w:p>
          <w:p w14:paraId="5BDC991D" w14:textId="1E4077CE" w:rsidR="007258E8" w:rsidRDefault="1D14C2AA" w:rsidP="1E4812B4">
            <w:pPr>
              <w:rPr>
                <w:sz w:val="24"/>
              </w:rPr>
            </w:pPr>
            <w:r w:rsidRPr="1E4812B4">
              <w:rPr>
                <w:sz w:val="24"/>
              </w:rPr>
              <w:t xml:space="preserve">  Facilities to help disabled pupils access the school can be found in the </w:t>
            </w:r>
            <w:hyperlink r:id="rId7">
              <w:r w:rsidRPr="1E4812B4">
                <w:rPr>
                  <w:rStyle w:val="Hyperlink"/>
                  <w:sz w:val="24"/>
                </w:rPr>
                <w:t>SEND policy.</w:t>
              </w:r>
            </w:hyperlink>
          </w:p>
        </w:tc>
      </w:tr>
      <w:tr w:rsidR="007258E8" w14:paraId="08AC320B" w14:textId="77777777" w:rsidTr="1E4812B4">
        <w:trPr>
          <w:trHeight w:val="3591"/>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F2887" w14:textId="77777777" w:rsidR="007258E8" w:rsidRDefault="00F22D5F" w:rsidP="0030477F">
            <w:pPr>
              <w:spacing w:line="240" w:lineRule="auto"/>
              <w:ind w:left="115" w:right="204"/>
            </w:pPr>
            <w:r>
              <w:rPr>
                <w:sz w:val="24"/>
              </w:rPr>
              <w:lastRenderedPageBreak/>
              <w:t xml:space="preserve">Arrangements for consulting parents of children with SEN and involving them in their education. </w:t>
            </w:r>
          </w:p>
          <w:p w14:paraId="28F297CA" w14:textId="77777777" w:rsidR="007258E8" w:rsidRDefault="00F22D5F" w:rsidP="0030477F">
            <w:r>
              <w:rPr>
                <w:sz w:val="24"/>
              </w:rPr>
              <w:t xml:space="preserve"> </w:t>
            </w:r>
          </w:p>
          <w:p w14:paraId="7DB5E490" w14:textId="77777777" w:rsidR="007258E8" w:rsidRDefault="00F22D5F" w:rsidP="0030477F">
            <w:pPr>
              <w:ind w:left="115" w:right="58"/>
            </w:pPr>
            <w:r>
              <w:rPr>
                <w:i/>
                <w:sz w:val="24"/>
              </w:rPr>
              <w:t xml:space="preserve">How will I be involved in discussions about and planning for my child’s education? </w:t>
            </w:r>
          </w:p>
        </w:tc>
        <w:tc>
          <w:tcPr>
            <w:tcW w:w="1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E73C1" w14:textId="77777777" w:rsidR="007258E8" w:rsidRDefault="00F22D5F" w:rsidP="0030477F">
            <w:pPr>
              <w:spacing w:after="293" w:line="240" w:lineRule="auto"/>
              <w:ind w:left="110" w:right="334"/>
            </w:pPr>
            <w:r>
              <w:rPr>
                <w:sz w:val="24"/>
              </w:rPr>
              <w:t xml:space="preserve">Working in partnership with parents and carers is fundamental to SEND provision at The Westgate School. We consult with parents through our school website, Edulink app, letters home, emails, phone calls, in-person meetings, school reports and parents’ evenings which allow for a more in-depth conversation with your child’s class or subject teachers. </w:t>
            </w:r>
          </w:p>
          <w:p w14:paraId="337B8E4D" w14:textId="77777777" w:rsidR="007258E8" w:rsidRDefault="00F22D5F" w:rsidP="0030477F">
            <w:pPr>
              <w:spacing w:after="61" w:line="240" w:lineRule="auto"/>
              <w:ind w:left="110"/>
            </w:pPr>
            <w:r>
              <w:rPr>
                <w:sz w:val="24"/>
              </w:rPr>
              <w:t xml:space="preserve">We hold regular whole school events to share our school ethos and values and show what the daily running of our school looks like through: </w:t>
            </w:r>
          </w:p>
          <w:p w14:paraId="260EFBFD" w14:textId="77777777" w:rsidR="007258E8" w:rsidRDefault="00F22D5F" w:rsidP="0030477F">
            <w:pPr>
              <w:numPr>
                <w:ilvl w:val="0"/>
                <w:numId w:val="9"/>
              </w:numPr>
              <w:ind w:hanging="358"/>
            </w:pPr>
            <w:r>
              <w:rPr>
                <w:sz w:val="24"/>
              </w:rPr>
              <w:t xml:space="preserve">open mornings </w:t>
            </w:r>
          </w:p>
          <w:p w14:paraId="27E5CE7C" w14:textId="77777777" w:rsidR="007258E8" w:rsidRDefault="00F22D5F" w:rsidP="0030477F">
            <w:pPr>
              <w:numPr>
                <w:ilvl w:val="0"/>
                <w:numId w:val="9"/>
              </w:numPr>
              <w:ind w:hanging="358"/>
            </w:pPr>
            <w:r>
              <w:rPr>
                <w:sz w:val="24"/>
              </w:rPr>
              <w:t xml:space="preserve">‘Partners in Learning’ talks (to update parents on different aspects of our provision, from SEND to safeguarding) </w:t>
            </w:r>
          </w:p>
          <w:p w14:paraId="362F4004" w14:textId="77777777" w:rsidR="007258E8" w:rsidRDefault="00F22D5F" w:rsidP="0030477F">
            <w:pPr>
              <w:numPr>
                <w:ilvl w:val="0"/>
                <w:numId w:val="9"/>
              </w:numPr>
              <w:ind w:hanging="358"/>
            </w:pPr>
            <w:r>
              <w:rPr>
                <w:sz w:val="24"/>
              </w:rPr>
              <w:t xml:space="preserve">transition meetings </w:t>
            </w:r>
          </w:p>
          <w:p w14:paraId="4DB7B28B" w14:textId="77777777" w:rsidR="007258E8" w:rsidRDefault="00F22D5F" w:rsidP="0030477F">
            <w:pPr>
              <w:spacing w:after="13"/>
              <w:ind w:left="110"/>
            </w:pPr>
            <w:r>
              <w:rPr>
                <w:sz w:val="24"/>
              </w:rPr>
              <w:t xml:space="preserve">If your child is on the SEND register, you will be invited to: </w:t>
            </w:r>
          </w:p>
          <w:p w14:paraId="1B495737" w14:textId="77777777" w:rsidR="007258E8" w:rsidRDefault="00F22D5F" w:rsidP="0030477F">
            <w:pPr>
              <w:numPr>
                <w:ilvl w:val="0"/>
                <w:numId w:val="9"/>
              </w:numPr>
              <w:ind w:hanging="358"/>
            </w:pPr>
            <w:r>
              <w:rPr>
                <w:sz w:val="24"/>
              </w:rPr>
              <w:t xml:space="preserve">share your views and contribute to the pupil plan (as part of the assess, plan, do, review cycle) </w:t>
            </w:r>
          </w:p>
          <w:p w14:paraId="67A38EDA" w14:textId="57A87882" w:rsidR="007258E8" w:rsidRDefault="00F22D5F" w:rsidP="0030477F">
            <w:pPr>
              <w:numPr>
                <w:ilvl w:val="0"/>
                <w:numId w:val="9"/>
              </w:numPr>
              <w:ind w:hanging="358"/>
            </w:pPr>
            <w:r>
              <w:rPr>
                <w:sz w:val="24"/>
              </w:rPr>
              <w:t xml:space="preserve">share your views and contribute to the Annual Review </w:t>
            </w:r>
            <w:r w:rsidR="00126DDF">
              <w:rPr>
                <w:sz w:val="24"/>
              </w:rPr>
              <w:t xml:space="preserve">process </w:t>
            </w:r>
            <w:r>
              <w:rPr>
                <w:sz w:val="24"/>
              </w:rPr>
              <w:t xml:space="preserve">if they have an EHCP </w:t>
            </w:r>
          </w:p>
        </w:tc>
      </w:tr>
    </w:tbl>
    <w:p w14:paraId="5108723D" w14:textId="77777777" w:rsidR="007258E8" w:rsidRDefault="007258E8" w:rsidP="0030477F">
      <w:pPr>
        <w:spacing w:after="0"/>
        <w:ind w:left="-1440" w:right="15410"/>
      </w:pPr>
    </w:p>
    <w:tbl>
      <w:tblPr>
        <w:tblStyle w:val="TableGrid"/>
        <w:tblW w:w="15314" w:type="dxa"/>
        <w:tblInd w:w="-715" w:type="dxa"/>
        <w:tblCellMar>
          <w:top w:w="53" w:type="dxa"/>
          <w:left w:w="5" w:type="dxa"/>
          <w:right w:w="171" w:type="dxa"/>
        </w:tblCellMar>
        <w:tblLook w:val="04A0" w:firstRow="1" w:lastRow="0" w:firstColumn="1" w:lastColumn="0" w:noHBand="0" w:noVBand="1"/>
      </w:tblPr>
      <w:tblGrid>
        <w:gridCol w:w="2691"/>
        <w:gridCol w:w="12623"/>
      </w:tblGrid>
      <w:tr w:rsidR="007258E8" w14:paraId="04A31B0F" w14:textId="77777777">
        <w:trPr>
          <w:trHeight w:val="4434"/>
        </w:trPr>
        <w:tc>
          <w:tcPr>
            <w:tcW w:w="2691" w:type="dxa"/>
            <w:tcBorders>
              <w:top w:val="single" w:sz="4" w:space="0" w:color="000000"/>
              <w:left w:val="single" w:sz="4" w:space="0" w:color="000000"/>
              <w:bottom w:val="single" w:sz="4" w:space="0" w:color="000000"/>
              <w:right w:val="single" w:sz="4" w:space="0" w:color="000000"/>
            </w:tcBorders>
          </w:tcPr>
          <w:p w14:paraId="4C136860" w14:textId="77777777" w:rsidR="007258E8" w:rsidRDefault="00F22D5F" w:rsidP="0030477F">
            <w:pPr>
              <w:spacing w:line="241" w:lineRule="auto"/>
              <w:ind w:right="191"/>
            </w:pPr>
            <w:r>
              <w:rPr>
                <w:sz w:val="24"/>
              </w:rPr>
              <w:t xml:space="preserve">Arrangements for consulting young people with SEN and involving them in their education. </w:t>
            </w:r>
          </w:p>
          <w:p w14:paraId="1F97F907" w14:textId="77777777" w:rsidR="007258E8" w:rsidRDefault="00F22D5F" w:rsidP="0030477F">
            <w:r>
              <w:rPr>
                <w:sz w:val="24"/>
              </w:rPr>
              <w:t xml:space="preserve"> </w:t>
            </w:r>
          </w:p>
          <w:p w14:paraId="24394654" w14:textId="77777777" w:rsidR="007258E8" w:rsidRDefault="00F22D5F" w:rsidP="0030477F">
            <w:pPr>
              <w:ind w:left="115" w:right="224"/>
            </w:pPr>
            <w:r>
              <w:rPr>
                <w:i/>
                <w:sz w:val="24"/>
              </w:rPr>
              <w:t xml:space="preserve">How will my child be involved in his/her own learning and decisions made about his/her education? </w:t>
            </w:r>
          </w:p>
        </w:tc>
        <w:tc>
          <w:tcPr>
            <w:tcW w:w="12624" w:type="dxa"/>
            <w:tcBorders>
              <w:top w:val="single" w:sz="4" w:space="0" w:color="000000"/>
              <w:left w:val="single" w:sz="4" w:space="0" w:color="000000"/>
              <w:bottom w:val="single" w:sz="4" w:space="0" w:color="000000"/>
              <w:right w:val="single" w:sz="4" w:space="0" w:color="000000"/>
            </w:tcBorders>
          </w:tcPr>
          <w:p w14:paraId="444BD49D" w14:textId="0D8767FE" w:rsidR="007258E8" w:rsidRDefault="00F22D5F" w:rsidP="0030477F">
            <w:pPr>
              <w:spacing w:after="290" w:line="240" w:lineRule="auto"/>
            </w:pPr>
            <w:r>
              <w:rPr>
                <w:sz w:val="24"/>
              </w:rPr>
              <w:t xml:space="preserve">The voice of the pupil is central to SEND provision at The Westgate School. All pupils are encouraged to participate in their learning in every lesson, every day and regularly self-assess and evaluate their progress. In the Secondary Phase pupils have time with their tutor every morning and also have a termly 1:1 or small group meeting with them. We also consult with pupils through our school website, Edulink app, in-person meetings, school reports and parents’ evenings which allow for a more </w:t>
            </w:r>
            <w:r w:rsidR="000F2689">
              <w:rPr>
                <w:sz w:val="24"/>
              </w:rPr>
              <w:t>in depth</w:t>
            </w:r>
            <w:r>
              <w:rPr>
                <w:sz w:val="24"/>
              </w:rPr>
              <w:t xml:space="preserve"> conversation with your child and their subject teachers. Pupils also record their views on their school reports, to contribute to discussions on their progress. </w:t>
            </w:r>
          </w:p>
          <w:p w14:paraId="2C286B8B" w14:textId="77777777" w:rsidR="007258E8" w:rsidRDefault="00F22D5F" w:rsidP="0030477F">
            <w:pPr>
              <w:spacing w:after="3" w:line="240" w:lineRule="auto"/>
              <w:ind w:left="110"/>
            </w:pPr>
            <w:r>
              <w:rPr>
                <w:sz w:val="24"/>
              </w:rPr>
              <w:t xml:space="preserve">In both the Secondary and Primary Phase, we hold WTACs (Westgate Team Around the Child) when we want to discuss the needs of an individual pupil with their subject teachers. Pupils, where appropriate, are asked to contribute to this by sharing their views. </w:t>
            </w:r>
          </w:p>
          <w:p w14:paraId="25B28B8A" w14:textId="77777777" w:rsidR="007258E8" w:rsidRDefault="00F22D5F" w:rsidP="0030477F">
            <w:r>
              <w:rPr>
                <w:sz w:val="24"/>
              </w:rPr>
              <w:t xml:space="preserve"> </w:t>
            </w:r>
          </w:p>
          <w:p w14:paraId="4D9FF104" w14:textId="77777777" w:rsidR="007258E8" w:rsidRDefault="00F22D5F" w:rsidP="0030477F">
            <w:pPr>
              <w:spacing w:after="13"/>
              <w:ind w:left="110"/>
            </w:pPr>
            <w:r>
              <w:rPr>
                <w:sz w:val="24"/>
              </w:rPr>
              <w:t xml:space="preserve">If your child is on the SEND register, they will be invited to: </w:t>
            </w:r>
          </w:p>
          <w:p w14:paraId="0BEE1606" w14:textId="119749F5" w:rsidR="007258E8" w:rsidRDefault="00F22D5F" w:rsidP="0030477F">
            <w:pPr>
              <w:numPr>
                <w:ilvl w:val="0"/>
                <w:numId w:val="13"/>
              </w:numPr>
              <w:ind w:hanging="358"/>
            </w:pPr>
            <w:r>
              <w:rPr>
                <w:sz w:val="24"/>
              </w:rPr>
              <w:t xml:space="preserve">share their views and contribute to the pupil plan (as part of the assess, plan, do, review cycle) </w:t>
            </w:r>
            <w:r w:rsidR="00126DDF">
              <w:rPr>
                <w:sz w:val="24"/>
              </w:rPr>
              <w:t xml:space="preserve">usually via their tutor or class teacher </w:t>
            </w:r>
          </w:p>
          <w:p w14:paraId="47CFA96A" w14:textId="014C54B4" w:rsidR="007258E8" w:rsidRDefault="00F22D5F" w:rsidP="0030477F">
            <w:pPr>
              <w:numPr>
                <w:ilvl w:val="0"/>
                <w:numId w:val="13"/>
              </w:numPr>
              <w:ind w:hanging="358"/>
            </w:pPr>
            <w:r>
              <w:rPr>
                <w:sz w:val="24"/>
              </w:rPr>
              <w:t xml:space="preserve">share their views and contribute to the annual review </w:t>
            </w:r>
            <w:r w:rsidR="00126DDF">
              <w:rPr>
                <w:sz w:val="24"/>
              </w:rPr>
              <w:t xml:space="preserve">process </w:t>
            </w:r>
            <w:r>
              <w:rPr>
                <w:sz w:val="24"/>
              </w:rPr>
              <w:t xml:space="preserve">if they have an EHCP </w:t>
            </w:r>
          </w:p>
        </w:tc>
      </w:tr>
      <w:tr w:rsidR="007258E8" w14:paraId="3C19D7D7" w14:textId="77777777">
        <w:trPr>
          <w:trHeight w:val="1805"/>
        </w:trPr>
        <w:tc>
          <w:tcPr>
            <w:tcW w:w="2691" w:type="dxa"/>
            <w:tcBorders>
              <w:top w:val="single" w:sz="4" w:space="0" w:color="000000"/>
              <w:left w:val="single" w:sz="4" w:space="0" w:color="000000"/>
              <w:bottom w:val="single" w:sz="4" w:space="0" w:color="000000"/>
              <w:right w:val="single" w:sz="4" w:space="0" w:color="000000"/>
            </w:tcBorders>
          </w:tcPr>
          <w:p w14:paraId="0051AFDF" w14:textId="77777777" w:rsidR="007258E8" w:rsidRDefault="00F22D5F" w:rsidP="0030477F">
            <w:pPr>
              <w:ind w:left="115" w:right="131"/>
            </w:pPr>
            <w:r>
              <w:rPr>
                <w:sz w:val="24"/>
              </w:rPr>
              <w:t xml:space="preserve">Arrangements for assessing and reviewing children and young people’s progress towards outcomes. </w:t>
            </w:r>
          </w:p>
        </w:tc>
        <w:tc>
          <w:tcPr>
            <w:tcW w:w="12624" w:type="dxa"/>
            <w:tcBorders>
              <w:top w:val="single" w:sz="4" w:space="0" w:color="000000"/>
              <w:left w:val="single" w:sz="4" w:space="0" w:color="000000"/>
              <w:bottom w:val="single" w:sz="4" w:space="0" w:color="000000"/>
              <w:right w:val="single" w:sz="4" w:space="0" w:color="000000"/>
            </w:tcBorders>
          </w:tcPr>
          <w:p w14:paraId="58D4B1F0" w14:textId="77777777" w:rsidR="007258E8" w:rsidRDefault="00F22D5F" w:rsidP="0030477F">
            <w:pPr>
              <w:spacing w:after="20"/>
              <w:ind w:left="110"/>
            </w:pPr>
            <w:r>
              <w:rPr>
                <w:sz w:val="24"/>
              </w:rPr>
              <w:t xml:space="preserve">Parents/carers and pupils are included in the assessment and review of pupils’ progress towards meeting outcomes in: </w:t>
            </w:r>
          </w:p>
          <w:p w14:paraId="72BB194E" w14:textId="77777777" w:rsidR="007258E8" w:rsidRDefault="00F22D5F" w:rsidP="0030477F">
            <w:pPr>
              <w:numPr>
                <w:ilvl w:val="0"/>
                <w:numId w:val="15"/>
              </w:numPr>
              <w:ind w:left="832" w:hanging="362"/>
            </w:pPr>
            <w:r>
              <w:rPr>
                <w:sz w:val="24"/>
              </w:rPr>
              <w:t xml:space="preserve">parents evening meetings </w:t>
            </w:r>
          </w:p>
          <w:p w14:paraId="0EC6BAC0" w14:textId="77777777" w:rsidR="007258E8" w:rsidRDefault="00F22D5F" w:rsidP="0030477F">
            <w:pPr>
              <w:numPr>
                <w:ilvl w:val="0"/>
                <w:numId w:val="15"/>
              </w:numPr>
              <w:spacing w:after="52" w:line="240" w:lineRule="auto"/>
              <w:ind w:left="832" w:hanging="362"/>
            </w:pPr>
            <w:r>
              <w:rPr>
                <w:sz w:val="24"/>
              </w:rPr>
              <w:t xml:space="preserve">pupil plan reviews in the Secondary and Primary Phase (for pupils on the SEND register as part of the assess, plan, do, review cycle) </w:t>
            </w:r>
          </w:p>
          <w:p w14:paraId="78F72380" w14:textId="60E35668" w:rsidR="007258E8" w:rsidRDefault="00126DDF" w:rsidP="0030477F">
            <w:pPr>
              <w:numPr>
                <w:ilvl w:val="0"/>
                <w:numId w:val="15"/>
              </w:numPr>
              <w:ind w:left="832" w:hanging="362"/>
            </w:pPr>
            <w:r>
              <w:rPr>
                <w:sz w:val="24"/>
              </w:rPr>
              <w:t xml:space="preserve">during the </w:t>
            </w:r>
            <w:r w:rsidR="00F22D5F">
              <w:rPr>
                <w:sz w:val="24"/>
              </w:rPr>
              <w:t xml:space="preserve">Annual Review </w:t>
            </w:r>
            <w:r>
              <w:rPr>
                <w:sz w:val="24"/>
              </w:rPr>
              <w:t>process</w:t>
            </w:r>
            <w:r w:rsidR="00F22D5F">
              <w:rPr>
                <w:sz w:val="24"/>
              </w:rPr>
              <w:t xml:space="preserve"> (for pupils with an EHCP) </w:t>
            </w:r>
          </w:p>
        </w:tc>
      </w:tr>
      <w:tr w:rsidR="007258E8" w14:paraId="36B563F3" w14:textId="77777777">
        <w:trPr>
          <w:trHeight w:val="3941"/>
        </w:trPr>
        <w:tc>
          <w:tcPr>
            <w:tcW w:w="2691" w:type="dxa"/>
            <w:tcBorders>
              <w:top w:val="single" w:sz="4" w:space="0" w:color="000000"/>
              <w:left w:val="single" w:sz="4" w:space="0" w:color="000000"/>
              <w:bottom w:val="single" w:sz="4" w:space="0" w:color="000000"/>
              <w:right w:val="single" w:sz="4" w:space="0" w:color="000000"/>
            </w:tcBorders>
          </w:tcPr>
          <w:p w14:paraId="467A3423" w14:textId="77777777" w:rsidR="007258E8" w:rsidRDefault="00F22D5F" w:rsidP="0030477F">
            <w:pPr>
              <w:spacing w:after="1" w:line="240" w:lineRule="auto"/>
              <w:ind w:left="115" w:right="51"/>
            </w:pPr>
            <w:r>
              <w:rPr>
                <w:sz w:val="24"/>
              </w:rPr>
              <w:lastRenderedPageBreak/>
              <w:t xml:space="preserve">Arrangements for supporting children and young people in moving between phases of education and in preparing for adulthood. </w:t>
            </w:r>
          </w:p>
          <w:p w14:paraId="592F052B" w14:textId="77777777" w:rsidR="007258E8" w:rsidRDefault="00F22D5F" w:rsidP="0030477F">
            <w:r>
              <w:rPr>
                <w:sz w:val="24"/>
              </w:rPr>
              <w:t xml:space="preserve"> </w:t>
            </w:r>
          </w:p>
          <w:p w14:paraId="7BE63662" w14:textId="77777777" w:rsidR="007258E8" w:rsidRDefault="00F22D5F" w:rsidP="0030477F">
            <w:pPr>
              <w:ind w:left="115" w:right="272"/>
            </w:pPr>
            <w:r>
              <w:rPr>
                <w:i/>
                <w:sz w:val="24"/>
              </w:rPr>
              <w:t xml:space="preserve">How will the school support my child when transferring between schools or to post-16 provision? </w:t>
            </w:r>
          </w:p>
        </w:tc>
        <w:tc>
          <w:tcPr>
            <w:tcW w:w="12624" w:type="dxa"/>
            <w:tcBorders>
              <w:top w:val="single" w:sz="4" w:space="0" w:color="000000"/>
              <w:left w:val="single" w:sz="4" w:space="0" w:color="000000"/>
              <w:bottom w:val="single" w:sz="4" w:space="0" w:color="000000"/>
              <w:right w:val="single" w:sz="4" w:space="0" w:color="000000"/>
            </w:tcBorders>
          </w:tcPr>
          <w:p w14:paraId="49C13FCB" w14:textId="1EEFE826" w:rsidR="007258E8" w:rsidRDefault="00F22D5F" w:rsidP="0030477F">
            <w:pPr>
              <w:spacing w:line="240" w:lineRule="auto"/>
              <w:ind w:left="110" w:right="146"/>
            </w:pPr>
            <w:r>
              <w:rPr>
                <w:sz w:val="24"/>
              </w:rPr>
              <w:t>We liaise closely with primary schools and our SEN</w:t>
            </w:r>
            <w:r w:rsidR="00126DDF">
              <w:rPr>
                <w:sz w:val="24"/>
              </w:rPr>
              <w:t>D</w:t>
            </w:r>
            <w:r>
              <w:rPr>
                <w:sz w:val="24"/>
              </w:rPr>
              <w:t>C</w:t>
            </w:r>
            <w:r w:rsidR="00126DDF">
              <w:rPr>
                <w:sz w:val="24"/>
              </w:rPr>
              <w:t>o</w:t>
            </w:r>
            <w:r>
              <w:rPr>
                <w:sz w:val="24"/>
              </w:rPr>
              <w:t xml:space="preserve">s </w:t>
            </w:r>
            <w:r w:rsidR="00126DDF">
              <w:rPr>
                <w:sz w:val="24"/>
              </w:rPr>
              <w:t xml:space="preserve">may </w:t>
            </w:r>
            <w:r>
              <w:rPr>
                <w:sz w:val="24"/>
              </w:rPr>
              <w:t xml:space="preserve">attend annual reviews and/or transition meetings for pupils with EHCPs who are joining us (where appropriate). </w:t>
            </w:r>
          </w:p>
          <w:p w14:paraId="15B921B2" w14:textId="77777777" w:rsidR="007258E8" w:rsidRDefault="00F22D5F" w:rsidP="0030477F">
            <w:pPr>
              <w:ind w:left="110"/>
            </w:pPr>
            <w:r>
              <w:rPr>
                <w:sz w:val="24"/>
              </w:rPr>
              <w:t xml:space="preserve"> </w:t>
            </w:r>
          </w:p>
          <w:p w14:paraId="7A4E600F" w14:textId="5E3B7B71" w:rsidR="007258E8" w:rsidRDefault="00F22D5F" w:rsidP="0030477F">
            <w:pPr>
              <w:spacing w:after="288" w:line="240" w:lineRule="auto"/>
              <w:ind w:left="110" w:right="430"/>
            </w:pPr>
            <w:r>
              <w:rPr>
                <w:sz w:val="24"/>
              </w:rPr>
              <w:t xml:space="preserve">In preparing for Post-16 education, all pupils receive careers guidance as part of the Personal Development curriculum and </w:t>
            </w:r>
            <w:r w:rsidR="00126DDF">
              <w:rPr>
                <w:sz w:val="24"/>
              </w:rPr>
              <w:t>through</w:t>
            </w:r>
            <w:r>
              <w:rPr>
                <w:sz w:val="24"/>
              </w:rPr>
              <w:t xml:space="preserve"> Hampshire Futures. Pupils with SEND are supported during this process, through smaller group or 1:1 work if required.  </w:t>
            </w:r>
          </w:p>
          <w:p w14:paraId="2BC81AB5" w14:textId="77777777" w:rsidR="007258E8" w:rsidRDefault="00F22D5F" w:rsidP="0030477F">
            <w:pPr>
              <w:ind w:left="110"/>
            </w:pPr>
            <w:r>
              <w:rPr>
                <w:sz w:val="24"/>
              </w:rPr>
              <w:t xml:space="preserve">Early planning for post-16 transition is key, especially for pupils with an EHCP which will require consultation with college providers. All paperwork for this is completed in the annual review in Year 10. </w:t>
            </w:r>
          </w:p>
        </w:tc>
      </w:tr>
    </w:tbl>
    <w:p w14:paraId="67C84514" w14:textId="77777777" w:rsidR="007258E8" w:rsidRDefault="007258E8" w:rsidP="0030477F">
      <w:pPr>
        <w:spacing w:after="0"/>
        <w:ind w:left="-1440" w:right="15410"/>
      </w:pPr>
    </w:p>
    <w:tbl>
      <w:tblPr>
        <w:tblStyle w:val="TableGrid"/>
        <w:tblW w:w="15314" w:type="dxa"/>
        <w:tblInd w:w="-715" w:type="dxa"/>
        <w:tblCellMar>
          <w:top w:w="53" w:type="dxa"/>
          <w:left w:w="5" w:type="dxa"/>
          <w:right w:w="145" w:type="dxa"/>
        </w:tblCellMar>
        <w:tblLook w:val="04A0" w:firstRow="1" w:lastRow="0" w:firstColumn="1" w:lastColumn="0" w:noHBand="0" w:noVBand="1"/>
      </w:tblPr>
      <w:tblGrid>
        <w:gridCol w:w="2691"/>
        <w:gridCol w:w="12623"/>
      </w:tblGrid>
      <w:tr w:rsidR="007258E8" w14:paraId="56740E7F" w14:textId="77777777" w:rsidTr="1E4812B4">
        <w:trPr>
          <w:trHeight w:val="5214"/>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F0E60" w14:textId="77777777" w:rsidR="007258E8" w:rsidRDefault="00F22D5F" w:rsidP="0030477F">
            <w:pPr>
              <w:spacing w:after="8" w:line="237" w:lineRule="auto"/>
              <w:ind w:left="115" w:right="382"/>
            </w:pPr>
            <w:r>
              <w:rPr>
                <w:sz w:val="24"/>
              </w:rPr>
              <w:t xml:space="preserve">The approach to teaching children and young people with SEND. </w:t>
            </w:r>
          </w:p>
          <w:p w14:paraId="21A720E4" w14:textId="77777777" w:rsidR="007258E8" w:rsidRDefault="00F22D5F" w:rsidP="0030477F">
            <w:r>
              <w:rPr>
                <w:sz w:val="24"/>
              </w:rPr>
              <w:t xml:space="preserve"> </w:t>
            </w:r>
          </w:p>
          <w:p w14:paraId="23A57E28" w14:textId="77777777" w:rsidR="007258E8" w:rsidRDefault="00F22D5F" w:rsidP="0030477F">
            <w:pPr>
              <w:ind w:left="115"/>
            </w:pPr>
            <w:r>
              <w:rPr>
                <w:i/>
                <w:sz w:val="24"/>
              </w:rPr>
              <w:t xml:space="preserve">How do teachers help pupils with SEND? </w:t>
            </w:r>
          </w:p>
        </w:tc>
        <w:tc>
          <w:tcPr>
            <w:tcW w:w="1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58845" w14:textId="78C7C0CF" w:rsidR="007258E8" w:rsidRDefault="00F22D5F" w:rsidP="1E4812B4">
            <w:pPr>
              <w:spacing w:after="9" w:line="238" w:lineRule="auto"/>
              <w:rPr>
                <w:sz w:val="24"/>
              </w:rPr>
            </w:pPr>
            <w:r w:rsidRPr="1E4812B4">
              <w:rPr>
                <w:sz w:val="24"/>
              </w:rPr>
              <w:t xml:space="preserve">At The Westgate School we are a community of learners, adults and pupils alike, and believe that good teaching for SEND is good teaching for all. </w:t>
            </w:r>
            <w:r w:rsidR="6FF3456E" w:rsidRPr="1E4812B4">
              <w:rPr>
                <w:sz w:val="24"/>
              </w:rPr>
              <w:t xml:space="preserve">Quality First Teaching and </w:t>
            </w:r>
            <w:r w:rsidR="560F6C5B" w:rsidRPr="1E4812B4">
              <w:rPr>
                <w:sz w:val="24"/>
              </w:rPr>
              <w:t>O</w:t>
            </w:r>
            <w:r w:rsidR="6FF3456E" w:rsidRPr="1E4812B4">
              <w:rPr>
                <w:sz w:val="24"/>
              </w:rPr>
              <w:t xml:space="preserve">rdinarily </w:t>
            </w:r>
            <w:r w:rsidR="6A9CDC66" w:rsidRPr="1E4812B4">
              <w:rPr>
                <w:sz w:val="24"/>
              </w:rPr>
              <w:t>A</w:t>
            </w:r>
            <w:r w:rsidR="6FF3456E" w:rsidRPr="1E4812B4">
              <w:rPr>
                <w:sz w:val="24"/>
              </w:rPr>
              <w:t xml:space="preserve">vailable </w:t>
            </w:r>
            <w:r w:rsidR="6BD38FFE" w:rsidRPr="1E4812B4">
              <w:rPr>
                <w:sz w:val="24"/>
              </w:rPr>
              <w:t>P</w:t>
            </w:r>
            <w:r w:rsidR="6FF3456E" w:rsidRPr="1E4812B4">
              <w:rPr>
                <w:sz w:val="24"/>
              </w:rPr>
              <w:t>rovision</w:t>
            </w:r>
            <w:r w:rsidRPr="1E4812B4">
              <w:rPr>
                <w:sz w:val="24"/>
              </w:rPr>
              <w:t xml:space="preserve"> is our approach to teaching pupils with SEND. This includes: </w:t>
            </w:r>
          </w:p>
          <w:p w14:paraId="410385D3" w14:textId="77777777" w:rsidR="00126DDF" w:rsidRDefault="00126DDF" w:rsidP="0030477F">
            <w:pPr>
              <w:spacing w:after="9" w:line="238" w:lineRule="auto"/>
            </w:pPr>
          </w:p>
          <w:p w14:paraId="66A97A55" w14:textId="77777777" w:rsidR="007258E8" w:rsidRDefault="00F22D5F" w:rsidP="0030477F">
            <w:pPr>
              <w:spacing w:after="101"/>
              <w:ind w:left="110"/>
            </w:pPr>
            <w:r>
              <w:rPr>
                <w:b/>
                <w:sz w:val="24"/>
              </w:rPr>
              <w:t xml:space="preserve">Explicit instruction </w:t>
            </w:r>
            <w:r>
              <w:rPr>
                <w:sz w:val="24"/>
              </w:rPr>
              <w:t xml:space="preserve">(modelling, guided practice) </w:t>
            </w:r>
          </w:p>
          <w:p w14:paraId="0EC702B9" w14:textId="77777777" w:rsidR="007258E8" w:rsidRDefault="00F22D5F" w:rsidP="0030477F">
            <w:pPr>
              <w:spacing w:after="99"/>
              <w:ind w:left="110"/>
            </w:pPr>
            <w:r>
              <w:rPr>
                <w:b/>
                <w:sz w:val="24"/>
              </w:rPr>
              <w:t xml:space="preserve">Cognitive and metacognitive strategies </w:t>
            </w:r>
            <w:r>
              <w:rPr>
                <w:sz w:val="24"/>
              </w:rPr>
              <w:t xml:space="preserve">(teaching pupils how to learn) </w:t>
            </w:r>
          </w:p>
          <w:p w14:paraId="03C01FA5" w14:textId="77777777" w:rsidR="007258E8" w:rsidRDefault="00F22D5F" w:rsidP="0030477F">
            <w:pPr>
              <w:spacing w:after="30"/>
              <w:ind w:left="110"/>
            </w:pPr>
            <w:r>
              <w:rPr>
                <w:b/>
                <w:sz w:val="24"/>
              </w:rPr>
              <w:t xml:space="preserve">Scaffolding </w:t>
            </w:r>
          </w:p>
          <w:p w14:paraId="7C8AA566" w14:textId="77777777" w:rsidR="007258E8" w:rsidRDefault="00F22D5F" w:rsidP="0030477F">
            <w:pPr>
              <w:numPr>
                <w:ilvl w:val="0"/>
                <w:numId w:val="10"/>
              </w:numPr>
              <w:ind w:hanging="358"/>
            </w:pPr>
            <w:r>
              <w:rPr>
                <w:sz w:val="24"/>
              </w:rPr>
              <w:t xml:space="preserve">Writing frames, word banks </w:t>
            </w:r>
          </w:p>
          <w:p w14:paraId="6DF83D8D" w14:textId="77777777" w:rsidR="007258E8" w:rsidRDefault="00F22D5F" w:rsidP="0030477F">
            <w:pPr>
              <w:numPr>
                <w:ilvl w:val="0"/>
                <w:numId w:val="10"/>
              </w:numPr>
              <w:spacing w:after="2"/>
              <w:ind w:hanging="358"/>
            </w:pPr>
            <w:r>
              <w:rPr>
                <w:sz w:val="24"/>
              </w:rPr>
              <w:t xml:space="preserve">Simplified content (slides, handouts) </w:t>
            </w:r>
          </w:p>
          <w:p w14:paraId="675E4208" w14:textId="77777777" w:rsidR="007258E8" w:rsidRDefault="00F22D5F" w:rsidP="0030477F">
            <w:pPr>
              <w:numPr>
                <w:ilvl w:val="0"/>
                <w:numId w:val="10"/>
              </w:numPr>
              <w:ind w:hanging="358"/>
            </w:pPr>
            <w:r>
              <w:rPr>
                <w:sz w:val="24"/>
              </w:rPr>
              <w:t xml:space="preserve">Visuals (especially for key words) </w:t>
            </w:r>
          </w:p>
          <w:p w14:paraId="261817D5" w14:textId="77777777" w:rsidR="007258E8" w:rsidRDefault="00F22D5F" w:rsidP="0030477F">
            <w:pPr>
              <w:numPr>
                <w:ilvl w:val="0"/>
                <w:numId w:val="10"/>
              </w:numPr>
              <w:ind w:hanging="358"/>
            </w:pPr>
            <w:r>
              <w:rPr>
                <w:sz w:val="24"/>
              </w:rPr>
              <w:t xml:space="preserve">Chunked tasks with written instructions </w:t>
            </w:r>
          </w:p>
          <w:p w14:paraId="05570193" w14:textId="77777777" w:rsidR="007258E8" w:rsidRDefault="00F22D5F" w:rsidP="0030477F">
            <w:pPr>
              <w:numPr>
                <w:ilvl w:val="0"/>
                <w:numId w:val="10"/>
              </w:numPr>
              <w:ind w:hanging="358"/>
            </w:pPr>
            <w:r>
              <w:rPr>
                <w:sz w:val="24"/>
              </w:rPr>
              <w:t xml:space="preserve">Questioning </w:t>
            </w:r>
          </w:p>
          <w:p w14:paraId="75E42AE8" w14:textId="77777777" w:rsidR="007258E8" w:rsidRDefault="00F22D5F" w:rsidP="0030477F">
            <w:pPr>
              <w:numPr>
                <w:ilvl w:val="0"/>
                <w:numId w:val="10"/>
              </w:numPr>
              <w:spacing w:after="67"/>
              <w:ind w:hanging="358"/>
            </w:pPr>
            <w:r>
              <w:rPr>
                <w:sz w:val="24"/>
              </w:rPr>
              <w:t xml:space="preserve">Processing time </w:t>
            </w:r>
          </w:p>
          <w:p w14:paraId="4D4F0390" w14:textId="77777777" w:rsidR="007258E8" w:rsidRDefault="00F22D5F" w:rsidP="0030477F">
            <w:pPr>
              <w:spacing w:after="82"/>
              <w:ind w:left="110"/>
            </w:pPr>
            <w:r>
              <w:rPr>
                <w:b/>
                <w:sz w:val="24"/>
              </w:rPr>
              <w:t xml:space="preserve">Flexible grouping </w:t>
            </w:r>
            <w:r>
              <w:rPr>
                <w:sz w:val="24"/>
              </w:rPr>
              <w:t xml:space="preserve">(e.g. pupils put into smaller groups where appropriate for additional support during a lesson) </w:t>
            </w:r>
          </w:p>
          <w:p w14:paraId="6B4879C3" w14:textId="77777777" w:rsidR="007258E8" w:rsidRDefault="00F22D5F" w:rsidP="0030477F">
            <w:pPr>
              <w:ind w:left="110"/>
            </w:pPr>
            <w:r>
              <w:rPr>
                <w:b/>
                <w:sz w:val="24"/>
              </w:rPr>
              <w:t xml:space="preserve">Technology </w:t>
            </w:r>
            <w:r>
              <w:rPr>
                <w:sz w:val="24"/>
              </w:rPr>
              <w:t xml:space="preserve">(e.g. use of a laptop) </w:t>
            </w:r>
          </w:p>
        </w:tc>
      </w:tr>
      <w:tr w:rsidR="007258E8" w14:paraId="7A97B083" w14:textId="77777777" w:rsidTr="1E4812B4">
        <w:trPr>
          <w:trHeight w:val="3944"/>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0444" w14:textId="77777777" w:rsidR="007258E8" w:rsidRDefault="00F22D5F" w:rsidP="0030477F">
            <w:pPr>
              <w:spacing w:line="240" w:lineRule="auto"/>
              <w:ind w:left="115" w:right="123"/>
            </w:pPr>
            <w:r>
              <w:rPr>
                <w:sz w:val="24"/>
              </w:rPr>
              <w:lastRenderedPageBreak/>
              <w:t xml:space="preserve">How adaptations are made to the curriculum and the learning environment of children and young people with </w:t>
            </w:r>
          </w:p>
          <w:p w14:paraId="34796E49" w14:textId="77777777" w:rsidR="007258E8" w:rsidRDefault="00F22D5F" w:rsidP="0030477F">
            <w:pPr>
              <w:ind w:left="115"/>
            </w:pPr>
            <w:r>
              <w:rPr>
                <w:sz w:val="24"/>
              </w:rPr>
              <w:t xml:space="preserve">SEND </w:t>
            </w:r>
          </w:p>
          <w:p w14:paraId="3188A83C" w14:textId="77777777" w:rsidR="007258E8" w:rsidRDefault="00F22D5F" w:rsidP="0030477F">
            <w:r>
              <w:rPr>
                <w:sz w:val="24"/>
              </w:rPr>
              <w:t xml:space="preserve"> </w:t>
            </w:r>
          </w:p>
          <w:p w14:paraId="62AAC4BC" w14:textId="77777777" w:rsidR="007258E8" w:rsidRDefault="00F22D5F" w:rsidP="0030477F">
            <w:pPr>
              <w:ind w:left="115" w:right="57"/>
            </w:pPr>
            <w:r>
              <w:rPr>
                <w:i/>
                <w:sz w:val="24"/>
              </w:rPr>
              <w:t xml:space="preserve">How will the curriculum be matched to my child’s needs? </w:t>
            </w:r>
          </w:p>
        </w:tc>
        <w:tc>
          <w:tcPr>
            <w:tcW w:w="1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A5050" w14:textId="15BC6E61" w:rsidR="007258E8" w:rsidRDefault="00F22D5F" w:rsidP="0030477F">
            <w:pPr>
              <w:spacing w:after="181" w:line="240" w:lineRule="auto"/>
              <w:ind w:left="110" w:right="54"/>
            </w:pPr>
            <w:r>
              <w:rPr>
                <w:sz w:val="24"/>
              </w:rPr>
              <w:t xml:space="preserve">At The Westgate School, we have an ambitious curriculum for all pupils including pupils with SEND. All teachers make adaptations to the teaching and learning in their classrooms to help pupils with SEND access the curriculum and make progress, as described above. </w:t>
            </w:r>
            <w:r w:rsidR="00126DDF">
              <w:rPr>
                <w:sz w:val="24"/>
              </w:rPr>
              <w:t>Whilst all pupils</w:t>
            </w:r>
            <w:r>
              <w:rPr>
                <w:sz w:val="24"/>
              </w:rPr>
              <w:t xml:space="preserve"> follow the school curriculum, a small number of learners </w:t>
            </w:r>
            <w:r w:rsidR="00126DDF">
              <w:rPr>
                <w:sz w:val="24"/>
              </w:rPr>
              <w:t xml:space="preserve">may </w:t>
            </w:r>
            <w:r>
              <w:rPr>
                <w:sz w:val="24"/>
              </w:rPr>
              <w:t xml:space="preserve">have a more personalised curriculum to match their individual needs. In addition, some pupils receive: </w:t>
            </w:r>
          </w:p>
          <w:p w14:paraId="59F7FC1B" w14:textId="77777777" w:rsidR="007258E8" w:rsidRDefault="00F22D5F" w:rsidP="0030477F">
            <w:pPr>
              <w:numPr>
                <w:ilvl w:val="0"/>
                <w:numId w:val="1"/>
              </w:numPr>
              <w:ind w:hanging="358"/>
            </w:pPr>
            <w:r>
              <w:rPr>
                <w:sz w:val="24"/>
              </w:rPr>
              <w:t xml:space="preserve">additional learning support for literacy and numeracy </w:t>
            </w:r>
          </w:p>
          <w:p w14:paraId="198F78FE" w14:textId="77777777" w:rsidR="007258E8" w:rsidRDefault="00F22D5F" w:rsidP="0030477F">
            <w:pPr>
              <w:numPr>
                <w:ilvl w:val="0"/>
                <w:numId w:val="1"/>
              </w:numPr>
              <w:ind w:hanging="358"/>
            </w:pPr>
            <w:r>
              <w:rPr>
                <w:sz w:val="24"/>
              </w:rPr>
              <w:t xml:space="preserve">evidence-based interventions to develop their skills in specific areas, such as emotional regulation </w:t>
            </w:r>
          </w:p>
          <w:p w14:paraId="3021724E" w14:textId="51FF3588" w:rsidR="007258E8" w:rsidRDefault="00126DDF" w:rsidP="0030477F">
            <w:pPr>
              <w:numPr>
                <w:ilvl w:val="0"/>
                <w:numId w:val="1"/>
              </w:numPr>
              <w:ind w:hanging="358"/>
            </w:pPr>
            <w:r>
              <w:rPr>
                <w:sz w:val="24"/>
              </w:rPr>
              <w:t xml:space="preserve">reasonable adjustments such as </w:t>
            </w:r>
            <w:r w:rsidR="00F22D5F">
              <w:rPr>
                <w:sz w:val="24"/>
              </w:rPr>
              <w:t xml:space="preserve">a time-out card to help them manage sensory needs </w:t>
            </w:r>
          </w:p>
          <w:p w14:paraId="0E2ADF80" w14:textId="240BB131" w:rsidR="007258E8" w:rsidRDefault="00F22D5F" w:rsidP="0030477F">
            <w:pPr>
              <w:numPr>
                <w:ilvl w:val="0"/>
                <w:numId w:val="1"/>
              </w:numPr>
              <w:spacing w:after="61"/>
              <w:ind w:hanging="358"/>
            </w:pPr>
            <w:r>
              <w:rPr>
                <w:sz w:val="24"/>
              </w:rPr>
              <w:t xml:space="preserve">specialist support from external agencies </w:t>
            </w:r>
          </w:p>
          <w:p w14:paraId="1DCCD7B7" w14:textId="6F997499" w:rsidR="007258E8" w:rsidRDefault="00F22D5F" w:rsidP="0030477F">
            <w:pPr>
              <w:spacing w:after="93" w:line="242" w:lineRule="auto"/>
              <w:ind w:left="110"/>
            </w:pPr>
            <w:r>
              <w:rPr>
                <w:sz w:val="24"/>
              </w:rPr>
              <w:t xml:space="preserve">Teaching assistants support pupils’ pathway to independence.  They allow pupils to attempt a task independently and intervene appropriately when pupils demonstrate they need more support. </w:t>
            </w:r>
          </w:p>
          <w:p w14:paraId="567C5362" w14:textId="77777777" w:rsidR="007258E8" w:rsidRDefault="00F22D5F" w:rsidP="0030477F">
            <w:pPr>
              <w:ind w:left="110"/>
            </w:pPr>
            <w:r>
              <w:rPr>
                <w:sz w:val="24"/>
              </w:rPr>
              <w:t xml:space="preserve">Please refer to our Accessibility Policy for further details on the physical school environment. </w:t>
            </w:r>
          </w:p>
        </w:tc>
      </w:tr>
    </w:tbl>
    <w:p w14:paraId="285B9098" w14:textId="77777777" w:rsidR="007258E8" w:rsidRDefault="007258E8" w:rsidP="0030477F">
      <w:pPr>
        <w:spacing w:after="0"/>
        <w:ind w:left="-1440" w:right="15410"/>
      </w:pPr>
    </w:p>
    <w:tbl>
      <w:tblPr>
        <w:tblStyle w:val="TableGrid"/>
        <w:tblW w:w="15314" w:type="dxa"/>
        <w:tblInd w:w="-715" w:type="dxa"/>
        <w:tblCellMar>
          <w:top w:w="53" w:type="dxa"/>
          <w:left w:w="5" w:type="dxa"/>
          <w:right w:w="119" w:type="dxa"/>
        </w:tblCellMar>
        <w:tblLook w:val="04A0" w:firstRow="1" w:lastRow="0" w:firstColumn="1" w:lastColumn="0" w:noHBand="0" w:noVBand="1"/>
      </w:tblPr>
      <w:tblGrid>
        <w:gridCol w:w="2691"/>
        <w:gridCol w:w="12623"/>
      </w:tblGrid>
      <w:tr w:rsidR="007258E8" w14:paraId="215709A6" w14:textId="77777777">
        <w:trPr>
          <w:trHeight w:val="2381"/>
        </w:trPr>
        <w:tc>
          <w:tcPr>
            <w:tcW w:w="2691" w:type="dxa"/>
            <w:tcBorders>
              <w:top w:val="single" w:sz="4" w:space="0" w:color="000000"/>
              <w:left w:val="single" w:sz="4" w:space="0" w:color="000000"/>
              <w:bottom w:val="single" w:sz="4" w:space="0" w:color="000000"/>
              <w:right w:val="single" w:sz="4" w:space="0" w:color="000000"/>
            </w:tcBorders>
          </w:tcPr>
          <w:p w14:paraId="5BC6EC90" w14:textId="77777777" w:rsidR="007258E8" w:rsidRDefault="00F22D5F" w:rsidP="0030477F">
            <w:pPr>
              <w:ind w:left="115" w:right="108"/>
            </w:pPr>
            <w:r>
              <w:rPr>
                <w:sz w:val="24"/>
              </w:rPr>
              <w:t xml:space="preserve">The expertise and training of staff to support children and young people with SEN, including how specialist expertise will be secured </w:t>
            </w:r>
          </w:p>
        </w:tc>
        <w:tc>
          <w:tcPr>
            <w:tcW w:w="12624" w:type="dxa"/>
            <w:tcBorders>
              <w:top w:val="single" w:sz="4" w:space="0" w:color="000000"/>
              <w:left w:val="single" w:sz="4" w:space="0" w:color="000000"/>
              <w:bottom w:val="single" w:sz="4" w:space="0" w:color="000000"/>
              <w:right w:val="single" w:sz="4" w:space="0" w:color="000000"/>
            </w:tcBorders>
          </w:tcPr>
          <w:p w14:paraId="796E25E1" w14:textId="4DC4D335" w:rsidR="007258E8" w:rsidRDefault="00F22D5F" w:rsidP="0030477F">
            <w:pPr>
              <w:spacing w:after="175" w:line="241" w:lineRule="auto"/>
              <w:ind w:left="110" w:right="815"/>
            </w:pPr>
            <w:r>
              <w:rPr>
                <w:sz w:val="24"/>
              </w:rPr>
              <w:t xml:space="preserve">All teachers are teachers of every child at The Westgate School and the training and expertise of teachers and teaching assistants to support pupils with SEND is rigorous and continuous through our ongoing professional development calendar. This includes: </w:t>
            </w:r>
          </w:p>
          <w:p w14:paraId="11B01337" w14:textId="77777777" w:rsidR="007258E8" w:rsidRDefault="00F22D5F" w:rsidP="0030477F">
            <w:pPr>
              <w:numPr>
                <w:ilvl w:val="0"/>
                <w:numId w:val="5"/>
              </w:numPr>
              <w:ind w:hanging="358"/>
            </w:pPr>
            <w:r>
              <w:rPr>
                <w:sz w:val="24"/>
              </w:rPr>
              <w:t xml:space="preserve">An induction by the SENCO for all trainee and Early Careers Teachers </w:t>
            </w:r>
          </w:p>
          <w:p w14:paraId="2ADDDCCE" w14:textId="0B3AF5E2" w:rsidR="007258E8" w:rsidRDefault="00126DDF" w:rsidP="0030477F">
            <w:pPr>
              <w:numPr>
                <w:ilvl w:val="0"/>
                <w:numId w:val="5"/>
              </w:numPr>
              <w:ind w:hanging="358"/>
            </w:pPr>
            <w:r>
              <w:rPr>
                <w:sz w:val="24"/>
              </w:rPr>
              <w:t>Appreciative enquiry weeks</w:t>
            </w:r>
            <w:r w:rsidR="00F22D5F">
              <w:rPr>
                <w:sz w:val="24"/>
              </w:rPr>
              <w:t xml:space="preserve"> which quality assure SEND provision and provide feedback to develop it further </w:t>
            </w:r>
          </w:p>
          <w:p w14:paraId="1C6C8AAD" w14:textId="77777777" w:rsidR="007258E8" w:rsidRDefault="00F22D5F" w:rsidP="0030477F">
            <w:pPr>
              <w:numPr>
                <w:ilvl w:val="0"/>
                <w:numId w:val="5"/>
              </w:numPr>
              <w:ind w:hanging="358"/>
            </w:pPr>
            <w:r>
              <w:rPr>
                <w:sz w:val="24"/>
              </w:rPr>
              <w:t xml:space="preserve">Whole school professional development </w:t>
            </w:r>
          </w:p>
          <w:p w14:paraId="0B10DF66" w14:textId="30AEADF7" w:rsidR="007258E8" w:rsidRDefault="00F22D5F" w:rsidP="0030477F">
            <w:pPr>
              <w:numPr>
                <w:ilvl w:val="0"/>
                <w:numId w:val="5"/>
              </w:numPr>
              <w:ind w:hanging="358"/>
            </w:pPr>
            <w:r>
              <w:rPr>
                <w:sz w:val="24"/>
              </w:rPr>
              <w:t xml:space="preserve">Workshops to support the developing expertise of teachers and teaching assistants </w:t>
            </w:r>
          </w:p>
        </w:tc>
      </w:tr>
      <w:tr w:rsidR="007258E8" w14:paraId="79251DE1" w14:textId="77777777">
        <w:trPr>
          <w:trHeight w:val="3248"/>
        </w:trPr>
        <w:tc>
          <w:tcPr>
            <w:tcW w:w="2691" w:type="dxa"/>
            <w:tcBorders>
              <w:top w:val="single" w:sz="4" w:space="0" w:color="000000"/>
              <w:left w:val="single" w:sz="4" w:space="0" w:color="000000"/>
              <w:bottom w:val="single" w:sz="4" w:space="0" w:color="000000"/>
              <w:right w:val="single" w:sz="4" w:space="0" w:color="000000"/>
            </w:tcBorders>
          </w:tcPr>
          <w:p w14:paraId="2319E49F" w14:textId="77777777" w:rsidR="007258E8" w:rsidRDefault="00F22D5F" w:rsidP="0030477F">
            <w:pPr>
              <w:spacing w:after="8" w:line="237" w:lineRule="auto"/>
              <w:ind w:left="115" w:right="561"/>
            </w:pPr>
            <w:r>
              <w:rPr>
                <w:sz w:val="24"/>
              </w:rPr>
              <w:t xml:space="preserve">Evaluating the effectiveness of the provision made for children and young people with SEN </w:t>
            </w:r>
          </w:p>
          <w:p w14:paraId="33646DE5" w14:textId="77777777" w:rsidR="007258E8" w:rsidRDefault="00F22D5F" w:rsidP="0030477F">
            <w:r>
              <w:rPr>
                <w:sz w:val="24"/>
              </w:rPr>
              <w:t xml:space="preserve"> </w:t>
            </w:r>
          </w:p>
          <w:p w14:paraId="2ED8C4A2" w14:textId="77777777" w:rsidR="007258E8" w:rsidRDefault="00F22D5F" w:rsidP="0030477F">
            <w:pPr>
              <w:spacing w:after="120" w:line="242" w:lineRule="auto"/>
              <w:ind w:left="115"/>
            </w:pPr>
            <w:r>
              <w:rPr>
                <w:i/>
                <w:sz w:val="24"/>
              </w:rPr>
              <w:t xml:space="preserve">How will I know that my child is making progress? </w:t>
            </w:r>
          </w:p>
          <w:p w14:paraId="4CFC378B" w14:textId="77777777" w:rsidR="007258E8" w:rsidRDefault="00F22D5F" w:rsidP="0030477F">
            <w:pPr>
              <w:ind w:left="115"/>
            </w:pPr>
            <w:r>
              <w:rPr>
                <w:i/>
                <w:sz w:val="24"/>
              </w:rPr>
              <w:t xml:space="preserve">How do you evaluate provision? </w:t>
            </w:r>
          </w:p>
        </w:tc>
        <w:tc>
          <w:tcPr>
            <w:tcW w:w="12624" w:type="dxa"/>
            <w:tcBorders>
              <w:top w:val="single" w:sz="4" w:space="0" w:color="000000"/>
              <w:left w:val="single" w:sz="4" w:space="0" w:color="000000"/>
              <w:bottom w:val="single" w:sz="4" w:space="0" w:color="000000"/>
              <w:right w:val="single" w:sz="4" w:space="0" w:color="000000"/>
            </w:tcBorders>
          </w:tcPr>
          <w:p w14:paraId="02EBAE49" w14:textId="22D06907" w:rsidR="007258E8" w:rsidRDefault="00F22D5F" w:rsidP="0030477F">
            <w:pPr>
              <w:spacing w:after="54" w:line="237" w:lineRule="auto"/>
              <w:ind w:left="110" w:right="156"/>
            </w:pPr>
            <w:r>
              <w:rPr>
                <w:sz w:val="24"/>
              </w:rPr>
              <w:t>All pupils, including those with SEND, are assessed on a regular basis, in accordance with the School’s Assessment Policy. Teachers formally assess and review progress and attainment half</w:t>
            </w:r>
            <w:r w:rsidR="00ED3DCE">
              <w:rPr>
                <w:sz w:val="24"/>
              </w:rPr>
              <w:t>-</w:t>
            </w:r>
            <w:r>
              <w:rPr>
                <w:sz w:val="24"/>
              </w:rPr>
              <w:t xml:space="preserve">termly which is communicated to parents/carers by a report that is sent home. Additionally, the effectiveness of provision is discussed during: </w:t>
            </w:r>
          </w:p>
          <w:p w14:paraId="2689D161" w14:textId="7764D516" w:rsidR="007258E8" w:rsidRDefault="000F2689" w:rsidP="0030477F">
            <w:pPr>
              <w:numPr>
                <w:ilvl w:val="0"/>
                <w:numId w:val="12"/>
              </w:numPr>
              <w:spacing w:after="6"/>
              <w:ind w:hanging="358"/>
            </w:pPr>
            <w:r>
              <w:rPr>
                <w:sz w:val="24"/>
              </w:rPr>
              <w:t>parents’</w:t>
            </w:r>
            <w:r w:rsidR="00F22D5F">
              <w:rPr>
                <w:sz w:val="24"/>
              </w:rPr>
              <w:t xml:space="preserve"> evenings </w:t>
            </w:r>
          </w:p>
          <w:p w14:paraId="10324C30" w14:textId="77777777" w:rsidR="007258E8" w:rsidRDefault="00F22D5F" w:rsidP="0030477F">
            <w:pPr>
              <w:numPr>
                <w:ilvl w:val="0"/>
                <w:numId w:val="12"/>
              </w:numPr>
              <w:ind w:hanging="358"/>
            </w:pPr>
            <w:r>
              <w:rPr>
                <w:sz w:val="24"/>
              </w:rPr>
              <w:t xml:space="preserve">pupil plan reviews (for pupils on the SEND register as part of the assess, plan, do, review cycle) </w:t>
            </w:r>
          </w:p>
          <w:p w14:paraId="74A17EAA" w14:textId="4AB56AF6" w:rsidR="007258E8" w:rsidRDefault="00ED3DCE" w:rsidP="0030477F">
            <w:pPr>
              <w:numPr>
                <w:ilvl w:val="0"/>
                <w:numId w:val="12"/>
              </w:numPr>
              <w:spacing w:after="234"/>
              <w:ind w:hanging="358"/>
            </w:pPr>
            <w:r>
              <w:rPr>
                <w:sz w:val="24"/>
              </w:rPr>
              <w:t xml:space="preserve">the </w:t>
            </w:r>
            <w:r w:rsidR="00F22D5F">
              <w:rPr>
                <w:sz w:val="24"/>
              </w:rPr>
              <w:t xml:space="preserve">annual review </w:t>
            </w:r>
            <w:r>
              <w:rPr>
                <w:sz w:val="24"/>
              </w:rPr>
              <w:t>process</w:t>
            </w:r>
            <w:r w:rsidR="00F22D5F">
              <w:rPr>
                <w:sz w:val="24"/>
              </w:rPr>
              <w:t xml:space="preserve"> (for pupils with an EHCP) </w:t>
            </w:r>
          </w:p>
          <w:p w14:paraId="7285268F" w14:textId="77777777" w:rsidR="007258E8" w:rsidRDefault="00F22D5F" w:rsidP="0030477F">
            <w:pPr>
              <w:ind w:left="110" w:right="116"/>
            </w:pPr>
            <w:r>
              <w:rPr>
                <w:sz w:val="24"/>
              </w:rPr>
              <w:t xml:space="preserve">The school has a Quality Assurance process that assesses the effectiveness of teaching and learning for all pupils, including those with SEND and the outcomes of these evaluations are used to create and implement development plans for all aspects of school life. Additionally, progress and attainment data for pupils is analysed for curriculum impact. </w:t>
            </w:r>
          </w:p>
        </w:tc>
      </w:tr>
      <w:tr w:rsidR="007258E8" w14:paraId="27E353CD" w14:textId="77777777">
        <w:trPr>
          <w:trHeight w:val="2946"/>
        </w:trPr>
        <w:tc>
          <w:tcPr>
            <w:tcW w:w="2691" w:type="dxa"/>
            <w:tcBorders>
              <w:top w:val="single" w:sz="4" w:space="0" w:color="000000"/>
              <w:left w:val="single" w:sz="4" w:space="0" w:color="000000"/>
              <w:bottom w:val="single" w:sz="4" w:space="0" w:color="000000"/>
              <w:right w:val="single" w:sz="4" w:space="0" w:color="000000"/>
            </w:tcBorders>
          </w:tcPr>
          <w:p w14:paraId="1FF82A2A" w14:textId="77777777" w:rsidR="007258E8" w:rsidRDefault="00F22D5F" w:rsidP="0030477F">
            <w:pPr>
              <w:spacing w:after="276" w:line="240" w:lineRule="auto"/>
              <w:ind w:left="115" w:right="55"/>
            </w:pPr>
            <w:r>
              <w:rPr>
                <w:sz w:val="24"/>
              </w:rPr>
              <w:lastRenderedPageBreak/>
              <w:t xml:space="preserve">How children and young people with SEN are enabled to engage in activities available with children and young people in the school who do not have SEN. </w:t>
            </w:r>
          </w:p>
          <w:p w14:paraId="0E76569E" w14:textId="77777777" w:rsidR="007258E8" w:rsidRDefault="00F22D5F" w:rsidP="0030477F">
            <w:pPr>
              <w:ind w:left="115"/>
            </w:pPr>
            <w:r>
              <w:rPr>
                <w:i/>
                <w:sz w:val="24"/>
              </w:rPr>
              <w:t xml:space="preserve">What before and after school, and other </w:t>
            </w:r>
          </w:p>
        </w:tc>
        <w:tc>
          <w:tcPr>
            <w:tcW w:w="12624" w:type="dxa"/>
            <w:tcBorders>
              <w:top w:val="single" w:sz="4" w:space="0" w:color="000000"/>
              <w:left w:val="single" w:sz="4" w:space="0" w:color="000000"/>
              <w:bottom w:val="single" w:sz="4" w:space="0" w:color="000000"/>
              <w:right w:val="single" w:sz="4" w:space="0" w:color="000000"/>
            </w:tcBorders>
          </w:tcPr>
          <w:p w14:paraId="6CE59834" w14:textId="77777777" w:rsidR="007258E8" w:rsidRDefault="00F22D5F" w:rsidP="0030477F">
            <w:pPr>
              <w:spacing w:after="227" w:line="243" w:lineRule="auto"/>
              <w:ind w:left="110" w:right="120"/>
            </w:pPr>
            <w:r>
              <w:rPr>
                <w:sz w:val="24"/>
              </w:rPr>
              <w:t xml:space="preserve">We are an inclusive community of learners and there are a large range of academic and hobby/interest clubs and trips available at The Westgate School. They are open to all pupils, including pupils with SEND. Details of these clubs are available on the school website, Edulink and shared by tutors and teaching colleagues during the school day. </w:t>
            </w:r>
          </w:p>
          <w:p w14:paraId="3F0CF48F" w14:textId="77777777" w:rsidR="007258E8" w:rsidRDefault="00F22D5F" w:rsidP="0030477F">
            <w:pPr>
              <w:spacing w:after="219"/>
              <w:ind w:left="110"/>
            </w:pPr>
            <w:r>
              <w:rPr>
                <w:sz w:val="24"/>
              </w:rPr>
              <w:t xml:space="preserve">All pupils are encouraged to take part in extra-curricular activities and day and residential trips are open to all pupils. </w:t>
            </w:r>
          </w:p>
          <w:p w14:paraId="6F0EDA8D" w14:textId="77777777" w:rsidR="007258E8" w:rsidRDefault="00F22D5F" w:rsidP="0030477F">
            <w:pPr>
              <w:ind w:left="110"/>
            </w:pPr>
            <w:r>
              <w:rPr>
                <w:sz w:val="24"/>
              </w:rPr>
              <w:t xml:space="preserve">Additionally, activities to support pupils with SEND include those such as breakfast and homework clubs.   </w:t>
            </w:r>
          </w:p>
        </w:tc>
      </w:tr>
    </w:tbl>
    <w:p w14:paraId="5712AD9F" w14:textId="77777777" w:rsidR="007258E8" w:rsidRDefault="007258E8" w:rsidP="0030477F">
      <w:pPr>
        <w:spacing w:after="0"/>
        <w:ind w:left="-1440" w:right="15410"/>
      </w:pPr>
    </w:p>
    <w:tbl>
      <w:tblPr>
        <w:tblStyle w:val="TableGrid"/>
        <w:tblW w:w="15314" w:type="dxa"/>
        <w:tblInd w:w="-715" w:type="dxa"/>
        <w:tblCellMar>
          <w:top w:w="14" w:type="dxa"/>
          <w:left w:w="5" w:type="dxa"/>
          <w:right w:w="116" w:type="dxa"/>
        </w:tblCellMar>
        <w:tblLook w:val="04A0" w:firstRow="1" w:lastRow="0" w:firstColumn="1" w:lastColumn="0" w:noHBand="0" w:noVBand="1"/>
      </w:tblPr>
      <w:tblGrid>
        <w:gridCol w:w="2691"/>
        <w:gridCol w:w="12623"/>
      </w:tblGrid>
      <w:tr w:rsidR="007258E8" w14:paraId="24C07A89" w14:textId="77777777" w:rsidTr="1E4812B4">
        <w:trPr>
          <w:trHeight w:val="716"/>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97EA" w14:textId="77777777" w:rsidR="007258E8" w:rsidRDefault="00F22D5F" w:rsidP="0030477F">
            <w:pPr>
              <w:ind w:left="115" w:right="19"/>
            </w:pPr>
            <w:r>
              <w:rPr>
                <w:i/>
                <w:sz w:val="24"/>
              </w:rPr>
              <w:t xml:space="preserve">activities are available for pupils with SEND? </w:t>
            </w:r>
          </w:p>
        </w:tc>
        <w:tc>
          <w:tcPr>
            <w:tcW w:w="1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F95BF" w14:textId="77777777" w:rsidR="007258E8" w:rsidRDefault="00F22D5F" w:rsidP="0030477F">
            <w:r>
              <w:rPr>
                <w:rFonts w:ascii="Times New Roman" w:eastAsia="Times New Roman" w:hAnsi="Times New Roman" w:cs="Times New Roman"/>
                <w:sz w:val="24"/>
              </w:rPr>
              <w:t xml:space="preserve"> </w:t>
            </w:r>
          </w:p>
        </w:tc>
      </w:tr>
      <w:tr w:rsidR="007258E8" w14:paraId="0AB8F13B" w14:textId="77777777" w:rsidTr="1E4812B4">
        <w:trPr>
          <w:trHeight w:val="4505"/>
        </w:trPr>
        <w:tc>
          <w:tcPr>
            <w:tcW w:w="2691"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0729A274" w14:textId="77777777" w:rsidR="007258E8" w:rsidRDefault="00F22D5F" w:rsidP="0030477F">
            <w:pPr>
              <w:spacing w:line="240" w:lineRule="auto"/>
              <w:ind w:left="115" w:right="216"/>
            </w:pPr>
            <w:r>
              <w:rPr>
                <w:sz w:val="24"/>
              </w:rPr>
              <w:t xml:space="preserve">Support for improving emotional and social development. This should include extra pastoral support arrangements for listening to the views of children and young people with SEN and measures to prevent bullying. </w:t>
            </w:r>
          </w:p>
          <w:p w14:paraId="6349F6F5" w14:textId="77777777" w:rsidR="007258E8" w:rsidRDefault="00F22D5F" w:rsidP="0030477F">
            <w:r>
              <w:rPr>
                <w:sz w:val="24"/>
              </w:rPr>
              <w:t xml:space="preserve"> </w:t>
            </w:r>
          </w:p>
          <w:p w14:paraId="27940566" w14:textId="77777777" w:rsidR="007258E8" w:rsidRDefault="00F22D5F" w:rsidP="0030477F">
            <w:pPr>
              <w:ind w:left="115"/>
            </w:pPr>
            <w:r>
              <w:rPr>
                <w:i/>
                <w:sz w:val="24"/>
              </w:rPr>
              <w:t xml:space="preserve">What support will there be for my child’s overall well-being? </w:t>
            </w:r>
          </w:p>
        </w:tc>
        <w:tc>
          <w:tcPr>
            <w:tcW w:w="12624"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49FDF36" w14:textId="77777777" w:rsidR="007258E8" w:rsidRDefault="00F22D5F" w:rsidP="0030477F">
            <w:pPr>
              <w:spacing w:after="23"/>
              <w:ind w:left="110"/>
            </w:pPr>
            <w:r>
              <w:rPr>
                <w:sz w:val="24"/>
              </w:rPr>
              <w:t xml:space="preserve">To support emotional and social development we have: </w:t>
            </w:r>
          </w:p>
          <w:p w14:paraId="34430D8F" w14:textId="77777777" w:rsidR="007258E8" w:rsidRDefault="00F22D5F" w:rsidP="0030477F">
            <w:pPr>
              <w:numPr>
                <w:ilvl w:val="0"/>
                <w:numId w:val="4"/>
              </w:numPr>
              <w:spacing w:after="51" w:line="242" w:lineRule="auto"/>
              <w:ind w:hanging="362"/>
            </w:pPr>
            <w:r>
              <w:rPr>
                <w:sz w:val="24"/>
              </w:rPr>
              <w:t xml:space="preserve">the continuity of the same form tutor for Years 7-11 (where possible) – this is a key adult to build a positive relationship with parents/carers of children with SEND as the main point of contact </w:t>
            </w:r>
          </w:p>
          <w:p w14:paraId="0B6BF301" w14:textId="77777777" w:rsidR="007258E8" w:rsidRDefault="00F22D5F" w:rsidP="0030477F">
            <w:pPr>
              <w:numPr>
                <w:ilvl w:val="0"/>
                <w:numId w:val="4"/>
              </w:numPr>
              <w:ind w:hanging="362"/>
            </w:pPr>
            <w:r>
              <w:rPr>
                <w:sz w:val="24"/>
              </w:rPr>
              <w:t xml:space="preserve">pastoral support from Year and Assistant Year Leaders </w:t>
            </w:r>
          </w:p>
          <w:p w14:paraId="47562EDA" w14:textId="5A9082D5" w:rsidR="007258E8" w:rsidRDefault="00ED3DCE" w:rsidP="0030477F">
            <w:pPr>
              <w:numPr>
                <w:ilvl w:val="0"/>
                <w:numId w:val="4"/>
              </w:numPr>
              <w:ind w:hanging="362"/>
            </w:pPr>
            <w:r>
              <w:rPr>
                <w:sz w:val="24"/>
              </w:rPr>
              <w:t>ELSA</w:t>
            </w:r>
          </w:p>
          <w:p w14:paraId="50503198" w14:textId="77777777" w:rsidR="007258E8" w:rsidRDefault="00F22D5F" w:rsidP="0030477F">
            <w:pPr>
              <w:ind w:left="110"/>
            </w:pPr>
            <w:r>
              <w:rPr>
                <w:sz w:val="24"/>
              </w:rPr>
              <w:t xml:space="preserve"> </w:t>
            </w:r>
          </w:p>
          <w:p w14:paraId="2F8B6A3D" w14:textId="77777777" w:rsidR="007258E8" w:rsidRDefault="00F22D5F" w:rsidP="0030477F">
            <w:pPr>
              <w:spacing w:after="13" w:line="238" w:lineRule="auto"/>
              <w:ind w:left="110"/>
            </w:pPr>
            <w:r>
              <w:rPr>
                <w:sz w:val="24"/>
              </w:rPr>
              <w:t xml:space="preserve">Adaptations for listening to the voices of pupils with SEND are supported, where possible, for example by using comic strip conversations and visuals </w:t>
            </w:r>
          </w:p>
          <w:p w14:paraId="12776DB8" w14:textId="77777777" w:rsidR="007258E8" w:rsidRDefault="00F22D5F" w:rsidP="0030477F">
            <w:pPr>
              <w:ind w:left="828"/>
            </w:pPr>
            <w:r>
              <w:rPr>
                <w:sz w:val="24"/>
              </w:rPr>
              <w:t xml:space="preserve"> </w:t>
            </w:r>
          </w:p>
        </w:tc>
      </w:tr>
      <w:tr w:rsidR="007258E8" w14:paraId="1C83C0DC" w14:textId="77777777" w:rsidTr="1E4812B4">
        <w:trPr>
          <w:trHeight w:val="4523"/>
        </w:trPr>
        <w:tc>
          <w:tcPr>
            <w:tcW w:w="2691"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40B1F8D" w14:textId="77777777" w:rsidR="007258E8" w:rsidRDefault="00F22D5F" w:rsidP="0030477F">
            <w:pPr>
              <w:spacing w:after="293" w:line="240" w:lineRule="auto"/>
              <w:ind w:left="115" w:right="52"/>
            </w:pPr>
            <w:r>
              <w:rPr>
                <w:sz w:val="24"/>
              </w:rPr>
              <w:lastRenderedPageBreak/>
              <w:t xml:space="preserve">How the school involves other bodies, including health and social care bodies, local authority support services and voluntary sector organisations, in meeting children and young people’s SEN and supporting their families </w:t>
            </w:r>
          </w:p>
          <w:p w14:paraId="69C64A1F" w14:textId="77777777" w:rsidR="007258E8" w:rsidRDefault="00F22D5F" w:rsidP="0030477F">
            <w:pPr>
              <w:ind w:left="115" w:right="215"/>
            </w:pPr>
            <w:r>
              <w:rPr>
                <w:i/>
                <w:sz w:val="24"/>
              </w:rPr>
              <w:t xml:space="preserve">What specialist services and expertise are available at or accessed by the school? </w:t>
            </w:r>
          </w:p>
        </w:tc>
        <w:tc>
          <w:tcPr>
            <w:tcW w:w="1262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71688A9" w14:textId="1CEE5AD4" w:rsidR="007258E8" w:rsidRDefault="00F22D5F" w:rsidP="0030477F">
            <w:pPr>
              <w:spacing w:after="51" w:line="238" w:lineRule="auto"/>
              <w:ind w:left="110"/>
            </w:pPr>
            <w:r>
              <w:rPr>
                <w:sz w:val="24"/>
              </w:rPr>
              <w:t xml:space="preserve">We liaise closely with external agencies </w:t>
            </w:r>
            <w:r w:rsidR="00ED3DCE">
              <w:rPr>
                <w:sz w:val="24"/>
              </w:rPr>
              <w:t>when required</w:t>
            </w:r>
            <w:r>
              <w:rPr>
                <w:sz w:val="24"/>
              </w:rPr>
              <w:t xml:space="preserve">. These </w:t>
            </w:r>
            <w:r w:rsidR="00ED3DCE">
              <w:rPr>
                <w:sz w:val="24"/>
              </w:rPr>
              <w:t xml:space="preserve">could </w:t>
            </w:r>
            <w:r>
              <w:rPr>
                <w:sz w:val="24"/>
              </w:rPr>
              <w:t xml:space="preserve">include </w:t>
            </w:r>
            <w:r w:rsidR="00ED3DCE">
              <w:rPr>
                <w:sz w:val="24"/>
              </w:rPr>
              <w:t>for example</w:t>
            </w:r>
            <w:r>
              <w:rPr>
                <w:sz w:val="24"/>
              </w:rPr>
              <w:t xml:space="preserve">: </w:t>
            </w:r>
          </w:p>
          <w:p w14:paraId="56173FFF" w14:textId="15E3E09B" w:rsidR="00ED3DCE" w:rsidRPr="00ED3DCE" w:rsidRDefault="00ED3DCE" w:rsidP="0030477F">
            <w:pPr>
              <w:numPr>
                <w:ilvl w:val="0"/>
                <w:numId w:val="3"/>
              </w:numPr>
              <w:spacing w:after="7"/>
              <w:ind w:hanging="358"/>
            </w:pPr>
            <w:r>
              <w:rPr>
                <w:sz w:val="24"/>
              </w:rPr>
              <w:t>Education and Inclusion Therapy Service</w:t>
            </w:r>
          </w:p>
          <w:p w14:paraId="556D07B9" w14:textId="77777777" w:rsidR="00ED3DCE" w:rsidRPr="00ED3DCE" w:rsidRDefault="00ED3DCE" w:rsidP="0030477F">
            <w:pPr>
              <w:numPr>
                <w:ilvl w:val="0"/>
                <w:numId w:val="3"/>
              </w:numPr>
              <w:spacing w:after="7"/>
              <w:ind w:hanging="358"/>
            </w:pPr>
            <w:r>
              <w:rPr>
                <w:sz w:val="24"/>
              </w:rPr>
              <w:t>Specialist Teacher Advisory Service</w:t>
            </w:r>
          </w:p>
          <w:p w14:paraId="564BB3A2" w14:textId="77777777" w:rsidR="007258E8" w:rsidRDefault="00F22D5F" w:rsidP="0030477F">
            <w:pPr>
              <w:numPr>
                <w:ilvl w:val="0"/>
                <w:numId w:val="3"/>
              </w:numPr>
              <w:ind w:hanging="358"/>
            </w:pPr>
            <w:r>
              <w:rPr>
                <w:sz w:val="24"/>
              </w:rPr>
              <w:t xml:space="preserve">Educational Psychology </w:t>
            </w:r>
          </w:p>
          <w:p w14:paraId="31373FAB" w14:textId="77777777" w:rsidR="007258E8" w:rsidRDefault="00F22D5F" w:rsidP="0030477F">
            <w:pPr>
              <w:numPr>
                <w:ilvl w:val="0"/>
                <w:numId w:val="3"/>
              </w:numPr>
              <w:spacing w:after="215"/>
              <w:ind w:hanging="358"/>
            </w:pPr>
            <w:r w:rsidRPr="1E4812B4">
              <w:rPr>
                <w:sz w:val="24"/>
              </w:rPr>
              <w:t xml:space="preserve">Child and Adolescent Mental Health Service (CAMHS) </w:t>
            </w:r>
          </w:p>
          <w:p w14:paraId="3CCD78AB" w14:textId="683BC954" w:rsidR="34AD595F" w:rsidRDefault="34AD595F" w:rsidP="1E4812B4">
            <w:pPr>
              <w:ind w:left="110"/>
              <w:rPr>
                <w:sz w:val="24"/>
              </w:rPr>
            </w:pPr>
            <w:r w:rsidRPr="1E4812B4">
              <w:rPr>
                <w:sz w:val="24"/>
              </w:rPr>
              <w:t xml:space="preserve">Our arrangements for supporting children and young people who are looked after by the local authority and have SEN can be found in our </w:t>
            </w:r>
            <w:hyperlink r:id="rId8">
              <w:r w:rsidRPr="1E4812B4">
                <w:rPr>
                  <w:rStyle w:val="Hyperlink"/>
                  <w:sz w:val="24"/>
                </w:rPr>
                <w:t>SEND policy</w:t>
              </w:r>
            </w:hyperlink>
            <w:r w:rsidRPr="1E4812B4">
              <w:rPr>
                <w:sz w:val="24"/>
              </w:rPr>
              <w:t>.</w:t>
            </w:r>
          </w:p>
          <w:p w14:paraId="2D82217B" w14:textId="364E1946" w:rsidR="1E4812B4" w:rsidRDefault="1E4812B4" w:rsidP="1E4812B4">
            <w:pPr>
              <w:ind w:left="110"/>
              <w:rPr>
                <w:sz w:val="24"/>
              </w:rPr>
            </w:pPr>
          </w:p>
          <w:p w14:paraId="2F925997" w14:textId="77777777" w:rsidR="007258E8" w:rsidRDefault="00F22D5F" w:rsidP="0030477F">
            <w:pPr>
              <w:ind w:left="110"/>
            </w:pPr>
            <w:r>
              <w:rPr>
                <w:sz w:val="24"/>
              </w:rPr>
              <w:t xml:space="preserve">Parents/carers will always be consulted as part of this process. </w:t>
            </w:r>
          </w:p>
        </w:tc>
      </w:tr>
    </w:tbl>
    <w:p w14:paraId="058A8AF2" w14:textId="77777777" w:rsidR="007258E8" w:rsidRDefault="00F22D5F" w:rsidP="0030477F">
      <w:pPr>
        <w:spacing w:after="0"/>
        <w:ind w:left="-821"/>
      </w:pPr>
      <w:r>
        <w:rPr>
          <w:sz w:val="2"/>
        </w:rPr>
        <w:t xml:space="preserve"> </w:t>
      </w:r>
    </w:p>
    <w:tbl>
      <w:tblPr>
        <w:tblStyle w:val="TableGrid"/>
        <w:tblW w:w="15314" w:type="dxa"/>
        <w:tblInd w:w="-715" w:type="dxa"/>
        <w:tblCellMar>
          <w:top w:w="53" w:type="dxa"/>
          <w:bottom w:w="15" w:type="dxa"/>
          <w:right w:w="71" w:type="dxa"/>
        </w:tblCellMar>
        <w:tblLook w:val="04A0" w:firstRow="1" w:lastRow="0" w:firstColumn="1" w:lastColumn="0" w:noHBand="0" w:noVBand="1"/>
      </w:tblPr>
      <w:tblGrid>
        <w:gridCol w:w="2691"/>
        <w:gridCol w:w="11759"/>
        <w:gridCol w:w="487"/>
        <w:gridCol w:w="377"/>
      </w:tblGrid>
      <w:tr w:rsidR="007258E8" w14:paraId="6EDED60B" w14:textId="77777777" w:rsidTr="1E4812B4">
        <w:trPr>
          <w:trHeight w:val="6779"/>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2348" w14:textId="77777777" w:rsidR="007258E8" w:rsidRDefault="00F22D5F" w:rsidP="0030477F">
            <w:pPr>
              <w:spacing w:after="1" w:line="240" w:lineRule="auto"/>
              <w:ind w:left="120" w:right="199"/>
            </w:pPr>
            <w:r>
              <w:rPr>
                <w:sz w:val="24"/>
              </w:rPr>
              <w:lastRenderedPageBreak/>
              <w:t xml:space="preserve">Who can I contact for further information and arrangements for handling complaints from parents of children with SEN about the provision made at the school </w:t>
            </w:r>
          </w:p>
          <w:p w14:paraId="59B351ED" w14:textId="77777777" w:rsidR="007258E8" w:rsidRDefault="00F22D5F" w:rsidP="0030477F">
            <w:pPr>
              <w:ind w:left="5"/>
            </w:pPr>
            <w:r>
              <w:rPr>
                <w:sz w:val="24"/>
              </w:rPr>
              <w:t xml:space="preserve"> </w:t>
            </w:r>
          </w:p>
          <w:p w14:paraId="4F5AE9F5" w14:textId="77777777" w:rsidR="007258E8" w:rsidRDefault="00F22D5F" w:rsidP="0030477F">
            <w:pPr>
              <w:spacing w:after="290" w:line="242" w:lineRule="auto"/>
              <w:ind w:left="120"/>
            </w:pPr>
            <w:r>
              <w:rPr>
                <w:i/>
                <w:sz w:val="24"/>
              </w:rPr>
              <w:t xml:space="preserve">Who can I contact about SEN? </w:t>
            </w:r>
          </w:p>
          <w:p w14:paraId="6DCE3551" w14:textId="77777777" w:rsidR="007258E8" w:rsidRDefault="00F22D5F" w:rsidP="0030477F">
            <w:pPr>
              <w:ind w:left="120"/>
            </w:pPr>
            <w:r>
              <w:rPr>
                <w:i/>
                <w:sz w:val="24"/>
              </w:rPr>
              <w:t xml:space="preserve">Who do I contact if I have a complaint? </w:t>
            </w:r>
          </w:p>
        </w:tc>
        <w:tc>
          <w:tcPr>
            <w:tcW w:w="11760" w:type="dxa"/>
            <w:tcBorders>
              <w:top w:val="single" w:sz="4" w:space="0" w:color="000000" w:themeColor="text1"/>
              <w:left w:val="single" w:sz="4" w:space="0" w:color="000000" w:themeColor="text1"/>
              <w:bottom w:val="single" w:sz="4" w:space="0" w:color="000000" w:themeColor="text1"/>
              <w:right w:val="nil"/>
            </w:tcBorders>
          </w:tcPr>
          <w:p w14:paraId="1AE0520C" w14:textId="77777777" w:rsidR="007258E8" w:rsidRDefault="00F22D5F" w:rsidP="0030477F">
            <w:pPr>
              <w:ind w:left="115"/>
            </w:pPr>
            <w:r>
              <w:rPr>
                <w:b/>
                <w:sz w:val="24"/>
              </w:rPr>
              <w:t xml:space="preserve">Key adults </w:t>
            </w:r>
          </w:p>
          <w:p w14:paraId="39472453" w14:textId="77777777" w:rsidR="00ED3DCE" w:rsidRDefault="00F22D5F" w:rsidP="0030477F">
            <w:pPr>
              <w:spacing w:after="281" w:line="242" w:lineRule="auto"/>
              <w:ind w:left="115" w:right="239"/>
              <w:rPr>
                <w:sz w:val="24"/>
              </w:rPr>
            </w:pPr>
            <w:r>
              <w:rPr>
                <w:sz w:val="24"/>
              </w:rPr>
              <w:t xml:space="preserve">Your first point of contact is your child’s class teacher in the primary phase or form tutor in the secondary phase. For general inquiries please </w:t>
            </w:r>
            <w:r w:rsidR="00ED3DCE">
              <w:rPr>
                <w:sz w:val="24"/>
              </w:rPr>
              <w:t>use the contact form on the school’s website.</w:t>
            </w:r>
          </w:p>
          <w:p w14:paraId="6CB81DC0" w14:textId="1D9FA6D9" w:rsidR="00ED3DCE" w:rsidRDefault="00ED3DCE" w:rsidP="0030477F">
            <w:pPr>
              <w:spacing w:after="281" w:line="242" w:lineRule="auto"/>
              <w:ind w:left="115" w:right="239"/>
              <w:rPr>
                <w:sz w:val="24"/>
              </w:rPr>
            </w:pPr>
            <w:r>
              <w:rPr>
                <w:sz w:val="24"/>
              </w:rPr>
              <w:t>School SENDC</w:t>
            </w:r>
            <w:r w:rsidR="000F2689">
              <w:rPr>
                <w:sz w:val="24"/>
              </w:rPr>
              <w:t>O</w:t>
            </w:r>
            <w:r>
              <w:rPr>
                <w:sz w:val="24"/>
              </w:rPr>
              <w:t>s are:</w:t>
            </w:r>
          </w:p>
          <w:p w14:paraId="6A51A6D4" w14:textId="77777777" w:rsidR="00ED3DCE" w:rsidRDefault="00ED3DCE" w:rsidP="0030477F">
            <w:pPr>
              <w:spacing w:after="281" w:line="242" w:lineRule="auto"/>
              <w:ind w:left="115" w:right="239"/>
              <w:rPr>
                <w:sz w:val="24"/>
              </w:rPr>
            </w:pPr>
            <w:r>
              <w:rPr>
                <w:sz w:val="24"/>
              </w:rPr>
              <w:t>For the secondary phase Anne Villien</w:t>
            </w:r>
          </w:p>
          <w:p w14:paraId="6D1DAC39" w14:textId="7AE4CF0A" w:rsidR="00ED3DCE" w:rsidRDefault="0484D313" w:rsidP="1E4812B4">
            <w:pPr>
              <w:spacing w:after="281" w:line="242" w:lineRule="auto"/>
              <w:ind w:left="115" w:right="239"/>
              <w:rPr>
                <w:sz w:val="24"/>
              </w:rPr>
            </w:pPr>
            <w:r w:rsidRPr="1E4812B4">
              <w:rPr>
                <w:sz w:val="24"/>
              </w:rPr>
              <w:t xml:space="preserve">For the primary phase Caroline Lunniss </w:t>
            </w:r>
          </w:p>
          <w:p w14:paraId="13166F55" w14:textId="36E1C3D4" w:rsidR="1BBA4F31" w:rsidRDefault="1BBA4F31" w:rsidP="1E4812B4">
            <w:pPr>
              <w:spacing w:after="281" w:line="242" w:lineRule="auto"/>
              <w:ind w:left="115" w:right="239"/>
              <w:rPr>
                <w:sz w:val="24"/>
              </w:rPr>
            </w:pPr>
            <w:r w:rsidRPr="1E4812B4">
              <w:rPr>
                <w:sz w:val="24"/>
              </w:rPr>
              <w:t>Designated teachers for CLA and PCLA:</w:t>
            </w:r>
          </w:p>
          <w:p w14:paraId="25196D51" w14:textId="7CB3C819" w:rsidR="1BBA4F31" w:rsidRDefault="1BBA4F31" w:rsidP="1E4812B4">
            <w:pPr>
              <w:spacing w:after="281" w:line="242" w:lineRule="auto"/>
              <w:ind w:left="115" w:right="239"/>
              <w:rPr>
                <w:sz w:val="24"/>
              </w:rPr>
            </w:pPr>
            <w:r w:rsidRPr="1E4812B4">
              <w:rPr>
                <w:sz w:val="24"/>
              </w:rPr>
              <w:t>For the primary phase Alison Edwards</w:t>
            </w:r>
          </w:p>
          <w:p w14:paraId="2A6F3329" w14:textId="7BD3834E" w:rsidR="1BBA4F31" w:rsidRDefault="1BBA4F31" w:rsidP="1E4812B4">
            <w:pPr>
              <w:spacing w:after="281" w:line="242" w:lineRule="auto"/>
              <w:ind w:left="115" w:right="239"/>
              <w:rPr>
                <w:sz w:val="24"/>
              </w:rPr>
            </w:pPr>
            <w:r w:rsidRPr="1E4812B4">
              <w:rPr>
                <w:sz w:val="24"/>
              </w:rPr>
              <w:t>For the secondary phase Mary O’Connell</w:t>
            </w:r>
          </w:p>
          <w:p w14:paraId="700D9F0E" w14:textId="6079BDDA" w:rsidR="00ED3DCE" w:rsidRPr="000F2689" w:rsidRDefault="00ED3DCE" w:rsidP="0030477F">
            <w:pPr>
              <w:spacing w:after="281" w:line="242" w:lineRule="auto"/>
              <w:ind w:left="115" w:right="239"/>
              <w:rPr>
                <w:b/>
                <w:bCs/>
                <w:sz w:val="24"/>
              </w:rPr>
            </w:pPr>
            <w:r w:rsidRPr="000F2689">
              <w:rPr>
                <w:b/>
                <w:bCs/>
                <w:sz w:val="24"/>
              </w:rPr>
              <w:t>Complaints</w:t>
            </w:r>
          </w:p>
          <w:p w14:paraId="76A18E2C" w14:textId="656442F6" w:rsidR="007258E8" w:rsidRDefault="0484D313" w:rsidP="0030477F">
            <w:pPr>
              <w:spacing w:after="281" w:line="242" w:lineRule="auto"/>
              <w:ind w:left="115" w:right="239"/>
            </w:pPr>
            <w:r w:rsidRPr="1E4812B4">
              <w:rPr>
                <w:sz w:val="24"/>
              </w:rPr>
              <w:t>If you w</w:t>
            </w:r>
            <w:r w:rsidR="49B2EACE" w:rsidRPr="1E4812B4">
              <w:rPr>
                <w:sz w:val="24"/>
              </w:rPr>
              <w:t xml:space="preserve">ould like to make a complaint, the school’s complaints policy can be found </w:t>
            </w:r>
            <w:hyperlink r:id="rId9">
              <w:r w:rsidR="49B2EACE" w:rsidRPr="1E4812B4">
                <w:rPr>
                  <w:rStyle w:val="Hyperlink"/>
                  <w:sz w:val="24"/>
                </w:rPr>
                <w:t>here</w:t>
              </w:r>
            </w:hyperlink>
            <w:r w:rsidR="49B2EACE" w:rsidRPr="1E4812B4">
              <w:rPr>
                <w:sz w:val="24"/>
              </w:rPr>
              <w:t xml:space="preserve"> </w:t>
            </w:r>
          </w:p>
        </w:tc>
        <w:tc>
          <w:tcPr>
            <w:tcW w:w="487" w:type="dxa"/>
            <w:tcBorders>
              <w:top w:val="single" w:sz="4" w:space="0" w:color="000000" w:themeColor="text1"/>
              <w:left w:val="nil"/>
              <w:bottom w:val="single" w:sz="4" w:space="0" w:color="000000" w:themeColor="text1"/>
              <w:right w:val="nil"/>
            </w:tcBorders>
            <w:vAlign w:val="bottom"/>
          </w:tcPr>
          <w:p w14:paraId="2ED8146A" w14:textId="277079CF" w:rsidR="007258E8" w:rsidRDefault="007258E8" w:rsidP="0030477F"/>
        </w:tc>
        <w:tc>
          <w:tcPr>
            <w:tcW w:w="377" w:type="dxa"/>
            <w:tcBorders>
              <w:top w:val="single" w:sz="4" w:space="0" w:color="000000" w:themeColor="text1"/>
              <w:left w:val="nil"/>
              <w:bottom w:val="single" w:sz="4" w:space="0" w:color="000000" w:themeColor="text1"/>
              <w:right w:val="single" w:sz="4" w:space="0" w:color="000000" w:themeColor="text1"/>
            </w:tcBorders>
            <w:vAlign w:val="bottom"/>
          </w:tcPr>
          <w:p w14:paraId="3293E5AC" w14:textId="524B2252" w:rsidR="007258E8" w:rsidRDefault="007258E8" w:rsidP="0030477F"/>
        </w:tc>
      </w:tr>
      <w:tr w:rsidR="007258E8" w14:paraId="7633E277" w14:textId="77777777" w:rsidTr="1E4812B4">
        <w:trPr>
          <w:trHeight w:val="2355"/>
        </w:trPr>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646AC" w14:textId="77777777" w:rsidR="007258E8" w:rsidRDefault="00F22D5F" w:rsidP="0030477F">
            <w:pPr>
              <w:spacing w:after="293" w:line="240" w:lineRule="auto"/>
              <w:ind w:left="120" w:right="241"/>
            </w:pPr>
            <w:r>
              <w:rPr>
                <w:sz w:val="24"/>
              </w:rPr>
              <w:t xml:space="preserve">Information on where the local authority’s Local Offer is published. </w:t>
            </w:r>
          </w:p>
          <w:p w14:paraId="52923D3A" w14:textId="77777777" w:rsidR="007258E8" w:rsidRDefault="00F22D5F" w:rsidP="0030477F">
            <w:pPr>
              <w:ind w:left="120" w:right="145"/>
            </w:pPr>
            <w:r>
              <w:rPr>
                <w:i/>
                <w:sz w:val="24"/>
              </w:rPr>
              <w:t xml:space="preserve">Where can I find out about other services that might be available for our family and my child? </w:t>
            </w:r>
          </w:p>
        </w:tc>
        <w:tc>
          <w:tcPr>
            <w:tcW w:w="12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C6F1" w14:textId="77777777" w:rsidR="007258E8" w:rsidRDefault="00F22D5F" w:rsidP="0030477F">
            <w:pPr>
              <w:ind w:left="115" w:right="437"/>
            </w:pPr>
            <w:r>
              <w:rPr>
                <w:sz w:val="24"/>
              </w:rPr>
              <w:t xml:space="preserve">To see how The Westgate School’s report relates to the Local Authority’s “Local Offer” and for further information relating to Hampshire County Council’s provision for education, health and social care, click here: </w:t>
            </w:r>
            <w:hyperlink r:id="rId10">
              <w:r>
                <w:rPr>
                  <w:color w:val="0000FF"/>
                  <w:sz w:val="24"/>
                  <w:u w:val="single" w:color="0000FF"/>
                </w:rPr>
                <w:t>https://fish.hants.gov.uk/kb5/hampshire/directory/localoffer.page</w:t>
              </w:r>
            </w:hyperlink>
            <w:hyperlink r:id="rId11">
              <w:r>
                <w:rPr>
                  <w:sz w:val="24"/>
                </w:rPr>
                <w:t xml:space="preserve"> </w:t>
              </w:r>
            </w:hyperlink>
          </w:p>
        </w:tc>
      </w:tr>
    </w:tbl>
    <w:p w14:paraId="3F83E40B" w14:textId="77777777" w:rsidR="007258E8" w:rsidRDefault="00F22D5F">
      <w:pPr>
        <w:spacing w:after="0"/>
        <w:ind w:left="-821"/>
        <w:jc w:val="both"/>
      </w:pPr>
      <w:r>
        <w:rPr>
          <w:sz w:val="16"/>
        </w:rPr>
        <w:t xml:space="preserve"> </w:t>
      </w:r>
    </w:p>
    <w:sectPr w:rsidR="007258E8">
      <w:pgSz w:w="16850" w:h="11921" w:orient="landscape"/>
      <w:pgMar w:top="694" w:right="1440" w:bottom="5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637"/>
    <w:multiLevelType w:val="hybridMultilevel"/>
    <w:tmpl w:val="4732AC56"/>
    <w:lvl w:ilvl="0" w:tplc="DBA62CC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A121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86DA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80EA4">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2A34C">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D0A29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74FD2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80FC00">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82238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C70AF2"/>
    <w:multiLevelType w:val="hybridMultilevel"/>
    <w:tmpl w:val="0BA8A4DA"/>
    <w:lvl w:ilvl="0" w:tplc="AEA8082E">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08B524">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E81A2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A2581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409C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94117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F82126">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429AD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4026D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956E21"/>
    <w:multiLevelType w:val="hybridMultilevel"/>
    <w:tmpl w:val="9120EBBA"/>
    <w:lvl w:ilvl="0" w:tplc="C92C2A9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48B5EC">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1669F8">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FC19F8">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21F1C">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EC96F4">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E6ADA2">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0EDFE">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41710">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243E3C"/>
    <w:multiLevelType w:val="hybridMultilevel"/>
    <w:tmpl w:val="926804FE"/>
    <w:lvl w:ilvl="0" w:tplc="04162C04">
      <w:start w:val="1"/>
      <w:numFmt w:val="bullet"/>
      <w:lvlText w:val="•"/>
      <w:lvlJc w:val="left"/>
      <w:pPr>
        <w:ind w:left="829"/>
      </w:pPr>
      <w:rPr>
        <w:rFonts w:ascii="Arial" w:eastAsia="Arial" w:hAnsi="Arial" w:cs="Arial"/>
        <w:b w:val="0"/>
        <w:i w:val="0"/>
        <w:strike w:val="0"/>
        <w:dstrike w:val="0"/>
        <w:color w:val="363738"/>
        <w:sz w:val="24"/>
        <w:szCs w:val="24"/>
        <w:u w:val="none" w:color="000000"/>
        <w:bdr w:val="none" w:sz="0" w:space="0" w:color="auto"/>
        <w:shd w:val="clear" w:color="auto" w:fill="auto"/>
        <w:vertAlign w:val="baseline"/>
      </w:rPr>
    </w:lvl>
    <w:lvl w:ilvl="1" w:tplc="05C83EE8">
      <w:start w:val="1"/>
      <w:numFmt w:val="bullet"/>
      <w:lvlText w:val="o"/>
      <w:lvlJc w:val="left"/>
      <w:pPr>
        <w:ind w:left="155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lvl w:ilvl="2" w:tplc="B3BEF5E0">
      <w:start w:val="1"/>
      <w:numFmt w:val="bullet"/>
      <w:lvlText w:val="▪"/>
      <w:lvlJc w:val="left"/>
      <w:pPr>
        <w:ind w:left="227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lvl w:ilvl="3" w:tplc="3556AA4A">
      <w:start w:val="1"/>
      <w:numFmt w:val="bullet"/>
      <w:lvlText w:val="•"/>
      <w:lvlJc w:val="left"/>
      <w:pPr>
        <w:ind w:left="2995"/>
      </w:pPr>
      <w:rPr>
        <w:rFonts w:ascii="Arial" w:eastAsia="Arial" w:hAnsi="Arial" w:cs="Arial"/>
        <w:b w:val="0"/>
        <w:i w:val="0"/>
        <w:strike w:val="0"/>
        <w:dstrike w:val="0"/>
        <w:color w:val="363738"/>
        <w:sz w:val="24"/>
        <w:szCs w:val="24"/>
        <w:u w:val="none" w:color="000000"/>
        <w:bdr w:val="none" w:sz="0" w:space="0" w:color="auto"/>
        <w:shd w:val="clear" w:color="auto" w:fill="auto"/>
        <w:vertAlign w:val="baseline"/>
      </w:rPr>
    </w:lvl>
    <w:lvl w:ilvl="4" w:tplc="7C0405C0">
      <w:start w:val="1"/>
      <w:numFmt w:val="bullet"/>
      <w:lvlText w:val="o"/>
      <w:lvlJc w:val="left"/>
      <w:pPr>
        <w:ind w:left="371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lvl w:ilvl="5" w:tplc="0A12A82C">
      <w:start w:val="1"/>
      <w:numFmt w:val="bullet"/>
      <w:lvlText w:val="▪"/>
      <w:lvlJc w:val="left"/>
      <w:pPr>
        <w:ind w:left="443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lvl w:ilvl="6" w:tplc="1CFC6682">
      <w:start w:val="1"/>
      <w:numFmt w:val="bullet"/>
      <w:lvlText w:val="•"/>
      <w:lvlJc w:val="left"/>
      <w:pPr>
        <w:ind w:left="5155"/>
      </w:pPr>
      <w:rPr>
        <w:rFonts w:ascii="Arial" w:eastAsia="Arial" w:hAnsi="Arial" w:cs="Arial"/>
        <w:b w:val="0"/>
        <w:i w:val="0"/>
        <w:strike w:val="0"/>
        <w:dstrike w:val="0"/>
        <w:color w:val="363738"/>
        <w:sz w:val="24"/>
        <w:szCs w:val="24"/>
        <w:u w:val="none" w:color="000000"/>
        <w:bdr w:val="none" w:sz="0" w:space="0" w:color="auto"/>
        <w:shd w:val="clear" w:color="auto" w:fill="auto"/>
        <w:vertAlign w:val="baseline"/>
      </w:rPr>
    </w:lvl>
    <w:lvl w:ilvl="7" w:tplc="F02C7EA6">
      <w:start w:val="1"/>
      <w:numFmt w:val="bullet"/>
      <w:lvlText w:val="o"/>
      <w:lvlJc w:val="left"/>
      <w:pPr>
        <w:ind w:left="587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lvl w:ilvl="8" w:tplc="3FFC0480">
      <w:start w:val="1"/>
      <w:numFmt w:val="bullet"/>
      <w:lvlText w:val="▪"/>
      <w:lvlJc w:val="left"/>
      <w:pPr>
        <w:ind w:left="6595"/>
      </w:pPr>
      <w:rPr>
        <w:rFonts w:ascii="Segoe UI Symbol" w:eastAsia="Segoe UI Symbol" w:hAnsi="Segoe UI Symbol" w:cs="Segoe UI Symbol"/>
        <w:b w:val="0"/>
        <w:i w:val="0"/>
        <w:strike w:val="0"/>
        <w:dstrike w:val="0"/>
        <w:color w:val="363738"/>
        <w:sz w:val="24"/>
        <w:szCs w:val="24"/>
        <w:u w:val="none" w:color="000000"/>
        <w:bdr w:val="none" w:sz="0" w:space="0" w:color="auto"/>
        <w:shd w:val="clear" w:color="auto" w:fill="auto"/>
        <w:vertAlign w:val="baseline"/>
      </w:rPr>
    </w:lvl>
  </w:abstractNum>
  <w:abstractNum w:abstractNumId="4" w15:restartNumberingAfterBreak="0">
    <w:nsid w:val="27AE6A45"/>
    <w:multiLevelType w:val="hybridMultilevel"/>
    <w:tmpl w:val="337A3A18"/>
    <w:lvl w:ilvl="0" w:tplc="19C01E06">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B65D40">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D894AA">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0BFB8">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25360">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E210">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DE78EA">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C4930A">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BA9FF6">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DB52E3"/>
    <w:multiLevelType w:val="hybridMultilevel"/>
    <w:tmpl w:val="1004EF52"/>
    <w:lvl w:ilvl="0" w:tplc="AEDE112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C32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612D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A0378C">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CC48C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5689F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FCFBC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4EB1C">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A67D1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8B629F"/>
    <w:multiLevelType w:val="hybridMultilevel"/>
    <w:tmpl w:val="84EA7DB2"/>
    <w:lvl w:ilvl="0" w:tplc="8D20A302">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02E56">
      <w:start w:val="1"/>
      <w:numFmt w:val="bullet"/>
      <w:lvlText w:val="o"/>
      <w:lvlJc w:val="left"/>
      <w:pPr>
        <w:ind w:left="1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16C85C">
      <w:start w:val="1"/>
      <w:numFmt w:val="bullet"/>
      <w:lvlText w:val="▪"/>
      <w:lvlJc w:val="left"/>
      <w:pPr>
        <w:ind w:left="2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BC75F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C7D56">
      <w:start w:val="1"/>
      <w:numFmt w:val="bullet"/>
      <w:lvlText w:val="o"/>
      <w:lvlJc w:val="left"/>
      <w:pPr>
        <w:ind w:left="3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28A0F6">
      <w:start w:val="1"/>
      <w:numFmt w:val="bullet"/>
      <w:lvlText w:val="▪"/>
      <w:lvlJc w:val="left"/>
      <w:pPr>
        <w:ind w:left="4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1AACA0">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F82F78">
      <w:start w:val="1"/>
      <w:numFmt w:val="bullet"/>
      <w:lvlText w:val="o"/>
      <w:lvlJc w:val="left"/>
      <w:pPr>
        <w:ind w:left="5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5475F4">
      <w:start w:val="1"/>
      <w:numFmt w:val="bullet"/>
      <w:lvlText w:val="▪"/>
      <w:lvlJc w:val="left"/>
      <w:pPr>
        <w:ind w:left="6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7B0F3D"/>
    <w:multiLevelType w:val="hybridMultilevel"/>
    <w:tmpl w:val="B7F6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24C63"/>
    <w:multiLevelType w:val="hybridMultilevel"/>
    <w:tmpl w:val="8B4444C0"/>
    <w:lvl w:ilvl="0" w:tplc="FE8CC926">
      <w:start w:val="1"/>
      <w:numFmt w:val="bullet"/>
      <w:lvlText w:val="•"/>
      <w:lvlJc w:val="left"/>
      <w:pPr>
        <w:ind w:left="1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68202E">
      <w:start w:val="1"/>
      <w:numFmt w:val="bullet"/>
      <w:lvlText w:val="o"/>
      <w:lvlJc w:val="left"/>
      <w:pPr>
        <w:ind w:left="17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4DD8C">
      <w:start w:val="1"/>
      <w:numFmt w:val="bullet"/>
      <w:lvlText w:val="▪"/>
      <w:lvlJc w:val="left"/>
      <w:pPr>
        <w:ind w:left="2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32BAEE">
      <w:start w:val="1"/>
      <w:numFmt w:val="bullet"/>
      <w:lvlText w:val="•"/>
      <w:lvlJc w:val="left"/>
      <w:pPr>
        <w:ind w:left="3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2C8A0E">
      <w:start w:val="1"/>
      <w:numFmt w:val="bullet"/>
      <w:lvlText w:val="o"/>
      <w:lvlJc w:val="left"/>
      <w:pPr>
        <w:ind w:left="39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F67B68">
      <w:start w:val="1"/>
      <w:numFmt w:val="bullet"/>
      <w:lvlText w:val="▪"/>
      <w:lvlJc w:val="left"/>
      <w:pPr>
        <w:ind w:left="4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4186C">
      <w:start w:val="1"/>
      <w:numFmt w:val="bullet"/>
      <w:lvlText w:val="•"/>
      <w:lvlJc w:val="left"/>
      <w:pPr>
        <w:ind w:left="5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4969E">
      <w:start w:val="1"/>
      <w:numFmt w:val="bullet"/>
      <w:lvlText w:val="o"/>
      <w:lvlJc w:val="left"/>
      <w:pPr>
        <w:ind w:left="61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F2BAC6">
      <w:start w:val="1"/>
      <w:numFmt w:val="bullet"/>
      <w:lvlText w:val="▪"/>
      <w:lvlJc w:val="left"/>
      <w:pPr>
        <w:ind w:left="6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3C550B"/>
    <w:multiLevelType w:val="hybridMultilevel"/>
    <w:tmpl w:val="C0FAD410"/>
    <w:lvl w:ilvl="0" w:tplc="E39C6DA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2DF8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B6533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50A2BC">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56F9A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1A22A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2EDFF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9C43F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3273E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264EB0"/>
    <w:multiLevelType w:val="hybridMultilevel"/>
    <w:tmpl w:val="0C44DB06"/>
    <w:lvl w:ilvl="0" w:tplc="16D097EC">
      <w:start w:val="1"/>
      <w:numFmt w:val="bullet"/>
      <w:lvlText w:val="•"/>
      <w:lvlJc w:val="left"/>
      <w:pPr>
        <w:ind w:left="7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B66A78E">
      <w:start w:val="1"/>
      <w:numFmt w:val="bullet"/>
      <w:lvlText w:val="o"/>
      <w:lvlJc w:val="left"/>
      <w:pPr>
        <w:ind w:left="15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0FE244E">
      <w:start w:val="1"/>
      <w:numFmt w:val="bullet"/>
      <w:lvlText w:val="▪"/>
      <w:lvlJc w:val="left"/>
      <w:pPr>
        <w:ind w:left="2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9D8ACF6">
      <w:start w:val="1"/>
      <w:numFmt w:val="bullet"/>
      <w:lvlText w:val="•"/>
      <w:lvlJc w:val="left"/>
      <w:pPr>
        <w:ind w:left="30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9456DE">
      <w:start w:val="1"/>
      <w:numFmt w:val="bullet"/>
      <w:lvlText w:val="o"/>
      <w:lvlJc w:val="left"/>
      <w:pPr>
        <w:ind w:left="37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FA462C">
      <w:start w:val="1"/>
      <w:numFmt w:val="bullet"/>
      <w:lvlText w:val="▪"/>
      <w:lvlJc w:val="left"/>
      <w:pPr>
        <w:ind w:left="4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2EC152">
      <w:start w:val="1"/>
      <w:numFmt w:val="bullet"/>
      <w:lvlText w:val="•"/>
      <w:lvlJc w:val="left"/>
      <w:pPr>
        <w:ind w:left="51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2E134C">
      <w:start w:val="1"/>
      <w:numFmt w:val="bullet"/>
      <w:lvlText w:val="o"/>
      <w:lvlJc w:val="left"/>
      <w:pPr>
        <w:ind w:left="59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472FFCA">
      <w:start w:val="1"/>
      <w:numFmt w:val="bullet"/>
      <w:lvlText w:val="▪"/>
      <w:lvlJc w:val="left"/>
      <w:pPr>
        <w:ind w:left="66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B6902A2"/>
    <w:multiLevelType w:val="hybridMultilevel"/>
    <w:tmpl w:val="3C18B926"/>
    <w:lvl w:ilvl="0" w:tplc="98581026">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7284D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1650F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20CC8C">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99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2E2BCC">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A4780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84D63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EF9A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0C744D"/>
    <w:multiLevelType w:val="hybridMultilevel"/>
    <w:tmpl w:val="21B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A4423"/>
    <w:multiLevelType w:val="hybridMultilevel"/>
    <w:tmpl w:val="7C9ABE06"/>
    <w:lvl w:ilvl="0" w:tplc="67DCE7BA">
      <w:start w:val="1"/>
      <w:numFmt w:val="bullet"/>
      <w:lvlText w:val="•"/>
      <w:lvlJc w:val="left"/>
      <w:pPr>
        <w:ind w:left="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9E38F2">
      <w:start w:val="1"/>
      <w:numFmt w:val="bullet"/>
      <w:lvlText w:val="o"/>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C2C078">
      <w:start w:val="1"/>
      <w:numFmt w:val="bullet"/>
      <w:lvlText w:val="▪"/>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D626C4">
      <w:start w:val="1"/>
      <w:numFmt w:val="bullet"/>
      <w:lvlText w:val="•"/>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244D18">
      <w:start w:val="1"/>
      <w:numFmt w:val="bullet"/>
      <w:lvlText w:val="o"/>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DC2F76">
      <w:start w:val="1"/>
      <w:numFmt w:val="bullet"/>
      <w:lvlText w:val="▪"/>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668B02">
      <w:start w:val="1"/>
      <w:numFmt w:val="bullet"/>
      <w:lvlText w:val="•"/>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1D60">
      <w:start w:val="1"/>
      <w:numFmt w:val="bullet"/>
      <w:lvlText w:val="o"/>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CF39A">
      <w:start w:val="1"/>
      <w:numFmt w:val="bullet"/>
      <w:lvlText w:val="▪"/>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2AD2F65"/>
    <w:multiLevelType w:val="hybridMultilevel"/>
    <w:tmpl w:val="0528114C"/>
    <w:lvl w:ilvl="0" w:tplc="CE8C5F38">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B41ED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54941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C56C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C515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62D4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08B064">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CCD7FC">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74628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96045390">
    <w:abstractNumId w:val="6"/>
  </w:num>
  <w:num w:numId="2" w16cid:durableId="1362441598">
    <w:abstractNumId w:val="10"/>
  </w:num>
  <w:num w:numId="3" w16cid:durableId="1398747705">
    <w:abstractNumId w:val="5"/>
  </w:num>
  <w:num w:numId="4" w16cid:durableId="1655914877">
    <w:abstractNumId w:val="4"/>
  </w:num>
  <w:num w:numId="5" w16cid:durableId="1682926011">
    <w:abstractNumId w:val="14"/>
  </w:num>
  <w:num w:numId="6" w16cid:durableId="1849980870">
    <w:abstractNumId w:val="3"/>
  </w:num>
  <w:num w:numId="7" w16cid:durableId="195892616">
    <w:abstractNumId w:val="7"/>
  </w:num>
  <w:num w:numId="8" w16cid:durableId="270551830">
    <w:abstractNumId w:val="12"/>
  </w:num>
  <w:num w:numId="9" w16cid:durableId="382143922">
    <w:abstractNumId w:val="11"/>
  </w:num>
  <w:num w:numId="10" w16cid:durableId="547373108">
    <w:abstractNumId w:val="1"/>
  </w:num>
  <w:num w:numId="11" w16cid:durableId="63063721">
    <w:abstractNumId w:val="13"/>
  </w:num>
  <w:num w:numId="12" w16cid:durableId="694842689">
    <w:abstractNumId w:val="9"/>
  </w:num>
  <w:num w:numId="13" w16cid:durableId="767771759">
    <w:abstractNumId w:val="0"/>
  </w:num>
  <w:num w:numId="14" w16cid:durableId="797799116">
    <w:abstractNumId w:val="8"/>
  </w:num>
  <w:num w:numId="15" w16cid:durableId="862942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E8"/>
    <w:rsid w:val="000F2689"/>
    <w:rsid w:val="00126DDF"/>
    <w:rsid w:val="001E7D7F"/>
    <w:rsid w:val="00240730"/>
    <w:rsid w:val="0030477F"/>
    <w:rsid w:val="00460E2A"/>
    <w:rsid w:val="005E5BA3"/>
    <w:rsid w:val="00655789"/>
    <w:rsid w:val="007258E8"/>
    <w:rsid w:val="007E3357"/>
    <w:rsid w:val="00CC3A80"/>
    <w:rsid w:val="00E12E15"/>
    <w:rsid w:val="00E76F5A"/>
    <w:rsid w:val="00EB1DDF"/>
    <w:rsid w:val="00ED3DCE"/>
    <w:rsid w:val="00ED7B01"/>
    <w:rsid w:val="00EF11DE"/>
    <w:rsid w:val="00F22D5F"/>
    <w:rsid w:val="0484D313"/>
    <w:rsid w:val="0DDD99D3"/>
    <w:rsid w:val="12A1DC71"/>
    <w:rsid w:val="1BBA4F31"/>
    <w:rsid w:val="1D14C2AA"/>
    <w:rsid w:val="1E4812B4"/>
    <w:rsid w:val="349C2626"/>
    <w:rsid w:val="34AD595F"/>
    <w:rsid w:val="3D9E6F16"/>
    <w:rsid w:val="49B2EACE"/>
    <w:rsid w:val="520726B9"/>
    <w:rsid w:val="555B9C7E"/>
    <w:rsid w:val="560F6C5B"/>
    <w:rsid w:val="561F9E88"/>
    <w:rsid w:val="58F76F4A"/>
    <w:rsid w:val="5CA8088F"/>
    <w:rsid w:val="6A9CDC66"/>
    <w:rsid w:val="6BD38FFE"/>
    <w:rsid w:val="6FF3456E"/>
    <w:rsid w:val="71787A9E"/>
    <w:rsid w:val="741FA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2F69"/>
  <w15:docId w15:val="{2224DE53-2BFF-4741-9095-A6D62B75B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5789"/>
    <w:pPr>
      <w:ind w:left="720"/>
      <w:contextualSpacing/>
    </w:pPr>
    <w:rPr>
      <w:rFonts w:asciiTheme="minorHAnsi" w:eastAsiaTheme="minorHAnsi" w:hAnsiTheme="minorHAnsi" w:cstheme="minorBidi"/>
      <w:color w:val="auto"/>
      <w:kern w:val="0"/>
      <w:szCs w:val="22"/>
      <w:lang w:eastAsia="en-US"/>
      <w14:ligatures w14:val="none"/>
    </w:rPr>
  </w:style>
  <w:style w:type="character" w:styleId="Hyperlink">
    <w:name w:val="Hyperlink"/>
    <w:basedOn w:val="DefaultParagraphFont"/>
    <w:uiPriority w:val="99"/>
    <w:unhideWhenUsed/>
    <w:rsid w:val="1E4812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ssla850sch4012.sharepoint.com/:w:/s/Policies/IQApOdNOPzlkQ5wzfvAB_cjiAe23NgTVd14sy_-YCpW-2Xw?action=embedvie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ssla850sch4012.sharepoint.com/:w:/s/Policies/IQApOdNOPzlkQ5wzfvAB_cjiAe23NgTVd14sy_-YCpW-2Xw?action=embed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sla850sch4012.sharepoint.com/:w:/s/Policies/IQApOdNOPzlkQ5wzfvAB_cjiAe23NgTVd14sy_-YCpW-2Xw?action=embedview" TargetMode="External"/><Relationship Id="rId11" Type="http://schemas.openxmlformats.org/officeDocument/2006/relationships/hyperlink" Target="https://fish.hants.gov.uk/kb5/hampshire/directory/localoffer.page" TargetMode="External"/><Relationship Id="rId5" Type="http://schemas.openxmlformats.org/officeDocument/2006/relationships/image" Target="media/image1.jpg"/><Relationship Id="rId10" Type="http://schemas.openxmlformats.org/officeDocument/2006/relationships/hyperlink" Target="https://fish.hants.gov.uk/kb5/hampshire/directory/localoffer.page" TargetMode="External"/><Relationship Id="rId4" Type="http://schemas.openxmlformats.org/officeDocument/2006/relationships/webSettings" Target="webSettings.xml"/><Relationship Id="rId9" Type="http://schemas.openxmlformats.org/officeDocument/2006/relationships/hyperlink" Target="https://hssla850sch4012.sharepoint.com/:w:/s/Policies/EVIjlCvYw9hKq4IQLPwPhxgBWDSPKzIAWfkMfYbWYrS3qA?action=embed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2540</Words>
  <Characters>14478</Characters>
  <Application>Microsoft Office Word</Application>
  <DocSecurity>0</DocSecurity>
  <Lines>120</Lines>
  <Paragraphs>33</Paragraphs>
  <ScaleCrop>false</ScaleCrop>
  <Company>The Westgate School</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Villien</dc:creator>
  <cp:keywords/>
  <cp:lastModifiedBy>J Thomas</cp:lastModifiedBy>
  <cp:revision>2</cp:revision>
  <dcterms:created xsi:type="dcterms:W3CDTF">2026-02-11T13:51:00Z</dcterms:created>
  <dcterms:modified xsi:type="dcterms:W3CDTF">2026-02-11T13:51:00Z</dcterms:modified>
</cp:coreProperties>
</file>